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A12" w:rsidRPr="005B0F90" w:rsidRDefault="00A24A12" w:rsidP="00A24A12">
      <w:pPr>
        <w:pStyle w:val="Zv-Titlereport"/>
      </w:pPr>
      <w:r>
        <w:t>исследование взаимодействия гелиевой струи с высокотемпературной плазмой токамака</w:t>
      </w:r>
      <w:r w:rsidR="006E48E6">
        <w:t xml:space="preserve"> </w:t>
      </w:r>
      <w:r w:rsidR="006E48E6">
        <w:rPr>
          <w:rStyle w:val="aa"/>
        </w:rPr>
        <w:footnoteReference w:customMarkFollows="1" w:id="1"/>
        <w:t>*)</w:t>
      </w:r>
    </w:p>
    <w:p w:rsidR="00A24A12" w:rsidRPr="00B5571F" w:rsidRDefault="00A24A12" w:rsidP="00A24A12">
      <w:pPr>
        <w:pStyle w:val="Zv-Author"/>
      </w:pPr>
      <w:r>
        <w:rPr>
          <w:u w:val="single"/>
        </w:rPr>
        <w:t>Коробко Д.</w:t>
      </w:r>
      <w:r w:rsidRPr="00CE45FF">
        <w:rPr>
          <w:u w:val="single"/>
        </w:rPr>
        <w:t>Д.</w:t>
      </w:r>
      <w:r>
        <w:t>, Тимохин В.М., Сергеев В.Ю</w:t>
      </w:r>
      <w:r w:rsidR="007221A6" w:rsidRPr="007221A6">
        <w:t>.</w:t>
      </w:r>
      <w:r>
        <w:t>, Богданов А.М.</w:t>
      </w:r>
    </w:p>
    <w:p w:rsidR="00A24A12" w:rsidRPr="001011BA" w:rsidRDefault="00A24A12" w:rsidP="00A24A12">
      <w:pPr>
        <w:pStyle w:val="Zv-Organization"/>
      </w:pPr>
      <w:r>
        <w:t xml:space="preserve">Санкт-Петербургский политехнический университет Петра Великого, </w:t>
      </w:r>
      <w:hyperlink r:id="rId8" w:history="1">
        <w:r w:rsidRPr="000F203C">
          <w:rPr>
            <w:rStyle w:val="a7"/>
            <w:lang w:val="en-US"/>
          </w:rPr>
          <w:t>korobko</w:t>
        </w:r>
        <w:r w:rsidRPr="000F203C">
          <w:rPr>
            <w:rStyle w:val="a7"/>
          </w:rPr>
          <w:t>.</w:t>
        </w:r>
        <w:r w:rsidRPr="000F203C">
          <w:rPr>
            <w:rStyle w:val="a7"/>
            <w:lang w:val="en-US"/>
          </w:rPr>
          <w:t>dd</w:t>
        </w:r>
        <w:r w:rsidRPr="000F203C">
          <w:rPr>
            <w:rStyle w:val="a7"/>
          </w:rPr>
          <w:t>@</w:t>
        </w:r>
        <w:r w:rsidRPr="000F203C">
          <w:rPr>
            <w:rStyle w:val="a7"/>
            <w:lang w:val="en-US"/>
          </w:rPr>
          <w:t>edu</w:t>
        </w:r>
        <w:r w:rsidRPr="000F203C">
          <w:rPr>
            <w:rStyle w:val="a7"/>
          </w:rPr>
          <w:t>.</w:t>
        </w:r>
        <w:r w:rsidRPr="000F203C">
          <w:rPr>
            <w:rStyle w:val="a7"/>
            <w:lang w:val="en-US"/>
          </w:rPr>
          <w:t>spbstu</w:t>
        </w:r>
        <w:r w:rsidRPr="000F203C">
          <w:rPr>
            <w:rStyle w:val="a7"/>
          </w:rPr>
          <w:t>.</w:t>
        </w:r>
        <w:r w:rsidRPr="000F203C">
          <w:rPr>
            <w:rStyle w:val="a7"/>
            <w:lang w:val="en-US"/>
          </w:rPr>
          <w:t>ru</w:t>
        </w:r>
      </w:hyperlink>
    </w:p>
    <w:p w:rsidR="00A24A12" w:rsidRPr="00CA5245" w:rsidRDefault="00A24A12" w:rsidP="00A24A12">
      <w:pPr>
        <w:pStyle w:val="Zv-bodyreport"/>
      </w:pPr>
      <w:r w:rsidRPr="00CA5245">
        <w:t>Спектроскопическая диагностика периферийной плазмы токамака с инжекцией нейтрального гелия предоставляет ценную информацию о распределении электронных температуры и плотности в периферийных областях плазменного шнура из соотношений измеренных интенсивностей излучения в спектральных линиях нейтрального гелия [1]. Понимание физических процессов, происходящих при взаимодействии нейтрального гелия с высокотемпературной плазмой токамака, позволит улучшить качество получаемых результатов и их интерпретации.</w:t>
      </w:r>
    </w:p>
    <w:p w:rsidR="00A24A12" w:rsidRPr="00CA5245" w:rsidRDefault="00A24A12" w:rsidP="00A24A12">
      <w:pPr>
        <w:pStyle w:val="Zv-bodyreport"/>
      </w:pPr>
      <w:r w:rsidRPr="00CA5245">
        <w:t xml:space="preserve">Первым шагом к расчёту распределений возбуждённых атомов гелия было исследование течения нейтрального гелия в системе инжекции спектроскопической диагностики, установленной на токамаке «Глобус-М2» [2].  Также были проведены расчёты параметров сопла Лаваля, способного оптимизировать указанную систему инжекции. Численное моделирование течения нейтрального гелия было выполнено с помощью </w:t>
      </w:r>
      <w:r w:rsidRPr="00CA5245">
        <w:rPr>
          <w:lang w:val="en-US"/>
        </w:rPr>
        <w:t>CFD</w:t>
      </w:r>
      <w:r w:rsidRPr="00CA5245">
        <w:t xml:space="preserve">-пакета среды вычислений </w:t>
      </w:r>
      <w:r w:rsidRPr="00CA5245">
        <w:rPr>
          <w:lang w:val="en-US"/>
        </w:rPr>
        <w:t>ANSYS</w:t>
      </w:r>
      <w:r w:rsidRPr="00CA5245">
        <w:t xml:space="preserve"> </w:t>
      </w:r>
      <w:r w:rsidRPr="00CA5245">
        <w:rPr>
          <w:lang w:val="en-US"/>
        </w:rPr>
        <w:t>Fluent</w:t>
      </w:r>
      <w:r w:rsidRPr="00CA5245">
        <w:t xml:space="preserve"> [3].</w:t>
      </w:r>
    </w:p>
    <w:p w:rsidR="00A24A12" w:rsidRPr="00CA5245" w:rsidRDefault="00A24A12" w:rsidP="00A24A12">
      <w:pPr>
        <w:pStyle w:val="Zv-bodyreport"/>
      </w:pPr>
      <w:r w:rsidRPr="00CA5245">
        <w:t>В докладе приведены результаты численных расчётов распределения атомов гелия в возбуждённом состоянии 1s3s(</w:t>
      </w:r>
      <w:r w:rsidRPr="00CA5245">
        <w:rPr>
          <w:vertAlign w:val="superscript"/>
        </w:rPr>
        <w:t>3</w:t>
      </w:r>
      <w:r w:rsidRPr="00CA5245">
        <w:t>S), соответствующего излучению в линии нейтрального гелия 706 нм (1s3s(</w:t>
      </w:r>
      <w:r w:rsidRPr="00CA5245">
        <w:rPr>
          <w:vertAlign w:val="superscript"/>
        </w:rPr>
        <w:t>3</w:t>
      </w:r>
      <w:r w:rsidRPr="00CA5245">
        <w:t>S) − 1s2p(</w:t>
      </w:r>
      <w:r w:rsidRPr="00CA5245">
        <w:rPr>
          <w:vertAlign w:val="superscript"/>
        </w:rPr>
        <w:t>3</w:t>
      </w:r>
      <w:r w:rsidRPr="00CA5245">
        <w:t>P</w:t>
      </w:r>
      <w:r w:rsidRPr="00CA5245">
        <w:rPr>
          <w:vertAlign w:val="superscript"/>
        </w:rPr>
        <w:t>0</w:t>
      </w:r>
      <w:r w:rsidRPr="00CA5245">
        <w:t>)). По скейлингу газодинамического разлёта газа из отверстия в вакуум, приведённому в работе [4], оценивалось распределение плотности атомов инжектированного гелия n</w:t>
      </w:r>
      <w:r w:rsidRPr="00CA5245">
        <w:rPr>
          <w:vertAlign w:val="subscript"/>
        </w:rPr>
        <w:t>He</w:t>
      </w:r>
      <w:r w:rsidRPr="00CA5245">
        <w:t xml:space="preserve"> в камере токамака. В формировании этого распределения были учтены процессы ионизации и перезарядки. Профили электронных температуры и концентрации брались из расчёта по коду SOLPS-ITER [5]. По известному сечению возбуждения основного состояния гелия на верхний уровень перехода</w:t>
      </w:r>
      <w:r w:rsidRPr="00CA5245" w:rsidDel="00FA21D3">
        <w:t xml:space="preserve"> </w:t>
      </w:r>
      <w:r w:rsidRPr="00CA5245">
        <w:t>1s3s(</w:t>
      </w:r>
      <w:r w:rsidRPr="00CA5245">
        <w:rPr>
          <w:vertAlign w:val="superscript"/>
        </w:rPr>
        <w:t>3</w:t>
      </w:r>
      <w:r w:rsidRPr="00CA5245">
        <w:t>S) − 1s2p(</w:t>
      </w:r>
      <w:r w:rsidRPr="00CA5245">
        <w:rPr>
          <w:vertAlign w:val="superscript"/>
        </w:rPr>
        <w:t>3</w:t>
      </w:r>
      <w:r w:rsidRPr="00CA5245">
        <w:t>P</w:t>
      </w:r>
      <w:r w:rsidRPr="00CA5245">
        <w:rPr>
          <w:vertAlign w:val="superscript"/>
        </w:rPr>
        <w:t>0</w:t>
      </w:r>
      <w:r w:rsidRPr="00CA5245">
        <w:t>) оценивалось пространственное распределение интенсивности излучения в соответствующей линии:</w:t>
      </w:r>
    </w:p>
    <w:p w:rsidR="00A24A12" w:rsidRPr="00CA5245" w:rsidRDefault="00A24A12" w:rsidP="00A24A12">
      <w:pPr>
        <w:pStyle w:val="Zv-formula"/>
      </w:pPr>
      <w:r w:rsidRPr="00CA5245">
        <w:t xml:space="preserve"> </w:t>
      </w:r>
      <w:r w:rsidRPr="00CA5245">
        <w:tab/>
      </w:r>
      <w:r w:rsidRPr="00CA5245">
        <w:rPr>
          <w:lang w:val="en-US"/>
        </w:rPr>
        <w:t>I</w:t>
      </w:r>
      <w:r w:rsidRPr="00CA5245">
        <w:rPr>
          <w:vertAlign w:val="subscript"/>
        </w:rPr>
        <w:t>706</w:t>
      </w:r>
      <w:r w:rsidRPr="00CA5245">
        <w:t>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 xml:space="preserve">) ~ </w:t>
      </w:r>
      <w:r w:rsidRPr="00CA5245">
        <w:rPr>
          <w:lang w:val="en-US"/>
        </w:rPr>
        <w:t>n</w:t>
      </w:r>
      <w:r w:rsidRPr="00CA5245">
        <w:rPr>
          <w:vertAlign w:val="subscript"/>
          <w:lang w:val="en-US"/>
        </w:rPr>
        <w:t>He</w:t>
      </w:r>
      <w:r w:rsidRPr="00CA5245">
        <w:t xml:space="preserve"> 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 xml:space="preserve">) </w:t>
      </w:r>
      <w:r w:rsidRPr="00CA5245">
        <w:rPr>
          <w:lang w:val="en-US"/>
        </w:rPr>
        <w:t>n</w:t>
      </w:r>
      <w:r w:rsidRPr="00CA5245">
        <w:rPr>
          <w:vertAlign w:val="subscript"/>
          <w:lang w:val="en-US"/>
        </w:rPr>
        <w:t>e</w:t>
      </w:r>
      <w:r w:rsidRPr="00CA5245">
        <w:t xml:space="preserve"> 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>) &lt;</w:t>
      </w:r>
      <w:r w:rsidRPr="00CA5245">
        <w:sym w:font="Symbol" w:char="F073"/>
      </w:r>
      <w:r w:rsidRPr="00CA5245">
        <w:rPr>
          <w:lang w:val="en-US"/>
        </w:rPr>
        <w:t>v</w:t>
      </w:r>
      <w:r w:rsidRPr="00CA5245">
        <w:t>&gt; (</w:t>
      </w:r>
      <w:r w:rsidRPr="00CA5245">
        <w:rPr>
          <w:lang w:val="en-US"/>
        </w:rPr>
        <w:t>T</w:t>
      </w:r>
      <w:r w:rsidRPr="00CA5245">
        <w:rPr>
          <w:vertAlign w:val="subscript"/>
          <w:lang w:val="en-US"/>
        </w:rPr>
        <w:t>e</w:t>
      </w:r>
      <w:r w:rsidRPr="00CA5245">
        <w:t xml:space="preserve"> 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>)),</w:t>
      </w:r>
      <w:r w:rsidRPr="00CA5245">
        <w:tab/>
        <w:t>(1)</w:t>
      </w:r>
    </w:p>
    <w:p w:rsidR="00A24A12" w:rsidRPr="00CA5245" w:rsidRDefault="00A24A12" w:rsidP="00A24A12">
      <w:pPr>
        <w:pStyle w:val="Zv-bodyreportcont"/>
      </w:pPr>
      <w:r w:rsidRPr="00CA5245">
        <w:t xml:space="preserve">где </w:t>
      </w:r>
      <w:r w:rsidRPr="00CA5245">
        <w:rPr>
          <w:lang w:val="en-US"/>
        </w:rPr>
        <w:t>n</w:t>
      </w:r>
      <w:r w:rsidRPr="00CA5245">
        <w:rPr>
          <w:vertAlign w:val="subscript"/>
          <w:lang w:val="en-US"/>
        </w:rPr>
        <w:t>e</w:t>
      </w:r>
      <w:r w:rsidRPr="00CA5245">
        <w:t xml:space="preserve"> 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>) – электронная концентрация, &lt;</w:t>
      </w:r>
      <w:r w:rsidRPr="00CA5245">
        <w:sym w:font="Symbol" w:char="F073"/>
      </w:r>
      <w:r w:rsidRPr="00CA5245">
        <w:rPr>
          <w:lang w:val="en-US"/>
        </w:rPr>
        <w:t>v</w:t>
      </w:r>
      <w:r w:rsidRPr="00CA5245">
        <w:t>&gt; (</w:t>
      </w:r>
      <w:r w:rsidRPr="00CA5245">
        <w:rPr>
          <w:lang w:val="en-US"/>
        </w:rPr>
        <w:t>T</w:t>
      </w:r>
      <w:r w:rsidRPr="00CA5245">
        <w:rPr>
          <w:vertAlign w:val="subscript"/>
          <w:lang w:val="en-US"/>
        </w:rPr>
        <w:t>e</w:t>
      </w:r>
      <w:r w:rsidRPr="00CA5245">
        <w:t xml:space="preserve"> (</w:t>
      </w:r>
      <w:r w:rsidRPr="00CA5245">
        <w:rPr>
          <w:lang w:val="en-US"/>
        </w:rPr>
        <w:t>R</w:t>
      </w:r>
      <w:r w:rsidRPr="00CA5245">
        <w:t xml:space="preserve">, </w:t>
      </w:r>
      <w:r w:rsidRPr="00CA5245">
        <w:rPr>
          <w:lang w:val="en-US"/>
        </w:rPr>
        <w:t>Z</w:t>
      </w:r>
      <w:r w:rsidRPr="00CA5245">
        <w:t xml:space="preserve">, </w:t>
      </w:r>
      <w:r w:rsidRPr="00CA5245">
        <w:rPr>
          <w:lang w:val="en-US"/>
        </w:rPr>
        <w:t>φ</w:t>
      </w:r>
      <w:r w:rsidRPr="00CA5245">
        <w:t>) – сечение возбуждения из основного состояния в 1s3s(</w:t>
      </w:r>
      <w:r w:rsidRPr="00CA5245">
        <w:rPr>
          <w:vertAlign w:val="superscript"/>
        </w:rPr>
        <w:t>3</w:t>
      </w:r>
      <w:r w:rsidRPr="00CA5245">
        <w:t>S).</w:t>
      </w:r>
    </w:p>
    <w:p w:rsidR="00A24A12" w:rsidRPr="00CA5245" w:rsidRDefault="00A24A12" w:rsidP="00A24A12">
      <w:pPr>
        <w:pStyle w:val="Zv-bodyreport"/>
      </w:pPr>
      <w:r w:rsidRPr="00CA5245">
        <w:t>Подробный анализ полученных результатов и их обсуждение приведены в докладе.</w:t>
      </w:r>
    </w:p>
    <w:p w:rsidR="00A24A12" w:rsidRPr="00BE55D1" w:rsidRDefault="00A24A12" w:rsidP="00A52F5D">
      <w:pPr>
        <w:pStyle w:val="Zv-bodyreport"/>
        <w:spacing w:before="120"/>
      </w:pPr>
      <w:r w:rsidRPr="00CA5245">
        <w:t>Работы поддержаны ГК Росатом и Минобрнауки России в рамках Федерального проекта 3 (U3), проект № FSEG-2023-0018 «Разработка и создание систем струйной и пеллет инжекции с повышенными производительностью и ресурсом».</w:t>
      </w:r>
    </w:p>
    <w:p w:rsidR="00A24A12" w:rsidRDefault="00A24A12" w:rsidP="00A24A12">
      <w:pPr>
        <w:pStyle w:val="Zv-TitleReferences-ru"/>
      </w:pPr>
      <w:r>
        <w:t>Литература</w:t>
      </w:r>
    </w:p>
    <w:p w:rsidR="00A24A12" w:rsidRPr="00A24A12" w:rsidRDefault="00A24A12" w:rsidP="00A24A12">
      <w:pPr>
        <w:pStyle w:val="Zv-References-ru"/>
        <w:numPr>
          <w:ilvl w:val="0"/>
          <w:numId w:val="1"/>
        </w:numPr>
        <w:rPr>
          <w:lang w:val="en-US"/>
        </w:rPr>
      </w:pPr>
      <w:r w:rsidRPr="0095349B">
        <w:rPr>
          <w:lang w:val="en-US"/>
        </w:rPr>
        <w:t xml:space="preserve">Zweben S.J. et al Rev Sci Instrum. </w:t>
      </w:r>
      <w:r w:rsidRPr="00A24A12">
        <w:rPr>
          <w:lang w:val="en-US"/>
        </w:rPr>
        <w:t>2017 Apr; 88(4):041101. doi: 10.1063/1.4981873. PMID: 28456269.</w:t>
      </w:r>
    </w:p>
    <w:p w:rsidR="00A24A12" w:rsidRDefault="00A24A12" w:rsidP="00A24A12">
      <w:pPr>
        <w:pStyle w:val="Zv-References-ru"/>
        <w:numPr>
          <w:ilvl w:val="0"/>
          <w:numId w:val="1"/>
        </w:numPr>
      </w:pPr>
      <w:r w:rsidRPr="000105B1">
        <w:t>В. М. Тимохин и др., Письма в ЖЭТФ, 116:5 (2022), 292–299.</w:t>
      </w:r>
    </w:p>
    <w:p w:rsidR="00A24A12" w:rsidRPr="006631AD" w:rsidRDefault="00A24A12" w:rsidP="00A24A12">
      <w:pPr>
        <w:pStyle w:val="Zv-References-ru"/>
        <w:numPr>
          <w:ilvl w:val="0"/>
          <w:numId w:val="1"/>
        </w:numPr>
      </w:pPr>
      <w:r w:rsidRPr="0080251E">
        <w:t>ANSYS</w:t>
      </w:r>
      <w:r w:rsidRPr="00343C2B">
        <w:t xml:space="preserve"> </w:t>
      </w:r>
      <w:r w:rsidRPr="0080251E">
        <w:t>Fluent</w:t>
      </w:r>
      <w:r w:rsidRPr="00343C2B">
        <w:t xml:space="preserve">. </w:t>
      </w:r>
      <w:r w:rsidRPr="00CD5EBF">
        <w:t>202</w:t>
      </w:r>
      <w:r w:rsidRPr="00881848">
        <w:t>2</w:t>
      </w:r>
      <w:r w:rsidRPr="00CD5EBF">
        <w:t xml:space="preserve">. – </w:t>
      </w:r>
      <w:r w:rsidRPr="0080251E">
        <w:t>URL</w:t>
      </w:r>
      <w:r w:rsidRPr="00CD5EBF">
        <w:t xml:space="preserve">: </w:t>
      </w:r>
      <w:hyperlink r:id="rId9" w:history="1">
        <w:r w:rsidRPr="00BA4F39">
          <w:rPr>
            <w:rStyle w:val="a7"/>
          </w:rPr>
          <w:t>https://www.ansys.com/products/fluids/ansys-fluent</w:t>
        </w:r>
      </w:hyperlink>
      <w:r w:rsidRPr="00CD5EBF">
        <w:t xml:space="preserve"> (</w:t>
      </w:r>
      <w:r>
        <w:t>дата обращения 10.</w:t>
      </w:r>
      <w:r w:rsidRPr="00E20A59">
        <w:t>1</w:t>
      </w:r>
      <w:r>
        <w:t>0.2022)</w:t>
      </w:r>
    </w:p>
    <w:p w:rsidR="00A24A12" w:rsidRPr="00E20A59" w:rsidRDefault="00A24A12" w:rsidP="00A24A12">
      <w:pPr>
        <w:pStyle w:val="Zv-References-ru"/>
        <w:numPr>
          <w:ilvl w:val="0"/>
          <w:numId w:val="1"/>
        </w:numPr>
      </w:pPr>
      <w:r w:rsidRPr="00E20A59">
        <w:t>В.</w:t>
      </w:r>
      <w:r>
        <w:t xml:space="preserve"> </w:t>
      </w:r>
      <w:r w:rsidRPr="00E20A59">
        <w:t>Г. Дулов, Г. А. Лукьянов Газодинамика процессов истечения. Новосибирск: Наука, формула (4.18), стр. 81 (1984).</w:t>
      </w:r>
    </w:p>
    <w:p w:rsidR="00A24A12" w:rsidRPr="006D3D14" w:rsidRDefault="00A24A12" w:rsidP="00A24A12">
      <w:pPr>
        <w:pStyle w:val="Zv-References-ru"/>
        <w:numPr>
          <w:ilvl w:val="0"/>
          <w:numId w:val="1"/>
        </w:numPr>
      </w:pPr>
      <w:r w:rsidRPr="0095349B">
        <w:rPr>
          <w:lang w:val="en-US"/>
        </w:rPr>
        <w:t xml:space="preserve">V.A. Rozhansky et al Nucl. </w:t>
      </w:r>
      <w:r w:rsidRPr="00E66D65">
        <w:t>Fusion 41 387</w:t>
      </w:r>
      <w:r w:rsidRPr="0062303D">
        <w:t xml:space="preserve"> (</w:t>
      </w:r>
      <w:r w:rsidRPr="00E66D65">
        <w:t>2001</w:t>
      </w:r>
      <w:r w:rsidRPr="0062303D">
        <w:t>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3D0A" w:rsidRDefault="00FC3D0A">
      <w:r>
        <w:separator/>
      </w:r>
    </w:p>
  </w:endnote>
  <w:endnote w:type="continuationSeparator" w:id="0">
    <w:p w:rsidR="00FC3D0A" w:rsidRDefault="00FC3D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C2FD1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07575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lang w:val="en-US"/>
      </w:rPr>
      <w:t>6</w:t>
    </w:r>
    <w:r w:rsidR="00DC2FD1"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 w:rsidR="00DC2FD1">
      <w:rPr>
        <w:rStyle w:val="a5"/>
      </w:rPr>
      <w:fldChar w:fldCharType="separate"/>
    </w:r>
    <w:r w:rsidR="006E48E6">
      <w:rPr>
        <w:rStyle w:val="a5"/>
        <w:noProof/>
      </w:rPr>
      <w:t>1</w:t>
    </w:r>
    <w:r w:rsidR="00DC2FD1"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3D0A" w:rsidRDefault="00FC3D0A">
      <w:r>
        <w:separator/>
      </w:r>
    </w:p>
  </w:footnote>
  <w:footnote w:type="continuationSeparator" w:id="0">
    <w:p w:rsidR="00FC3D0A" w:rsidRDefault="00FC3D0A">
      <w:r>
        <w:continuationSeparator/>
      </w:r>
    </w:p>
  </w:footnote>
  <w:footnote w:id="1">
    <w:p w:rsidR="006E48E6" w:rsidRDefault="006E48E6">
      <w:pPr>
        <w:pStyle w:val="a8"/>
      </w:pPr>
      <w:r>
        <w:rPr>
          <w:rStyle w:val="aa"/>
        </w:rPr>
        <w:t>*)</w:t>
      </w:r>
      <w:r>
        <w:t xml:space="preserve"> </w:t>
      </w:r>
      <w:hyperlink r:id="rId1" w:history="1">
        <w:r w:rsidRPr="006E48E6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A24A12">
      <w:rPr>
        <w:sz w:val="20"/>
      </w:rPr>
      <w:t>20</w:t>
    </w:r>
    <w:r w:rsidR="00C62CFE">
      <w:rPr>
        <w:sz w:val="20"/>
      </w:rPr>
      <w:t xml:space="preserve"> – </w:t>
    </w:r>
    <w:r w:rsidR="00700C3A" w:rsidRPr="00A24A12">
      <w:rPr>
        <w:sz w:val="20"/>
      </w:rPr>
      <w:t>2</w:t>
    </w:r>
    <w:r w:rsidR="00577A8A" w:rsidRPr="00A24A12">
      <w:rPr>
        <w:sz w:val="20"/>
      </w:rPr>
      <w:t>4</w:t>
    </w:r>
    <w:r w:rsidR="00C62CFE">
      <w:rPr>
        <w:sz w:val="20"/>
      </w:rPr>
      <w:t xml:space="preserve"> марта 20</w:t>
    </w:r>
    <w:r w:rsidR="00C62CFE" w:rsidRPr="00A24A12">
      <w:rPr>
        <w:sz w:val="20"/>
      </w:rPr>
      <w:t>2</w:t>
    </w:r>
    <w:r w:rsidR="00700C3A" w:rsidRPr="00A24A12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DC2FD1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221A6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02D1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77A8A"/>
    <w:rsid w:val="0058676C"/>
    <w:rsid w:val="00607575"/>
    <w:rsid w:val="00617E8E"/>
    <w:rsid w:val="00650CBC"/>
    <w:rsid w:val="00654A7B"/>
    <w:rsid w:val="0066672D"/>
    <w:rsid w:val="006673EE"/>
    <w:rsid w:val="00683140"/>
    <w:rsid w:val="006A1743"/>
    <w:rsid w:val="006B6BE5"/>
    <w:rsid w:val="006E48E6"/>
    <w:rsid w:val="006F68D0"/>
    <w:rsid w:val="00700C3A"/>
    <w:rsid w:val="007221A6"/>
    <w:rsid w:val="00732A2E"/>
    <w:rsid w:val="007B6378"/>
    <w:rsid w:val="007D3F59"/>
    <w:rsid w:val="00802D35"/>
    <w:rsid w:val="008E2894"/>
    <w:rsid w:val="009352E6"/>
    <w:rsid w:val="0094721E"/>
    <w:rsid w:val="009551FC"/>
    <w:rsid w:val="00A24A12"/>
    <w:rsid w:val="00A52F5D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54944"/>
    <w:rsid w:val="00C62CFE"/>
    <w:rsid w:val="00C80EC3"/>
    <w:rsid w:val="00CA791E"/>
    <w:rsid w:val="00CD22CF"/>
    <w:rsid w:val="00CE0E75"/>
    <w:rsid w:val="00D47F19"/>
    <w:rsid w:val="00DA4715"/>
    <w:rsid w:val="00DC2FD1"/>
    <w:rsid w:val="00DE16AD"/>
    <w:rsid w:val="00DF1C1D"/>
    <w:rsid w:val="00DF6D4D"/>
    <w:rsid w:val="00E1331D"/>
    <w:rsid w:val="00E371DD"/>
    <w:rsid w:val="00E7021A"/>
    <w:rsid w:val="00E87733"/>
    <w:rsid w:val="00F41040"/>
    <w:rsid w:val="00F74399"/>
    <w:rsid w:val="00F95123"/>
    <w:rsid w:val="00FA3FAE"/>
    <w:rsid w:val="00FC3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link w:val="Zv-bodyreportChar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qFormat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qFormat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unhideWhenUsed/>
    <w:rsid w:val="00A24A12"/>
    <w:rPr>
      <w:color w:val="0000FF" w:themeColor="hyperlink"/>
      <w:u w:val="single"/>
    </w:rPr>
  </w:style>
  <w:style w:type="character" w:customStyle="1" w:styleId="Zv-bodyreportChar">
    <w:name w:val="Zv-body_report Char"/>
    <w:link w:val="Zv-bodyreport"/>
    <w:locked/>
    <w:rsid w:val="00A24A12"/>
    <w:rPr>
      <w:sz w:val="24"/>
      <w:szCs w:val="24"/>
    </w:rPr>
  </w:style>
  <w:style w:type="paragraph" w:styleId="a8">
    <w:name w:val="footnote text"/>
    <w:basedOn w:val="a"/>
    <w:link w:val="a9"/>
    <w:rsid w:val="006E48E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6E48E6"/>
  </w:style>
  <w:style w:type="character" w:styleId="aa">
    <w:name w:val="footnote reference"/>
    <w:basedOn w:val="a0"/>
    <w:rsid w:val="006E48E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robko.dd@edu.spbst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nsys.com/products/fluids/ansys-fluent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Y-Korob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F1E50E-8095-4D22-8B0E-CD4F44400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7</TotalTime>
  <Pages>1</Pages>
  <Words>359</Words>
  <Characters>2597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ВЗАИМОДЕЙСТВИЯ ГЕЛИЕВОЙ СТРУИ С ВЫСОКОТЕМПЕРАТУРНОЙ ПЛАЗМОЙ ТОКАМАКА</dc:title>
  <dc:creator/>
  <cp:lastModifiedBy>Сатунин</cp:lastModifiedBy>
  <cp:revision>5</cp:revision>
  <cp:lastPrinted>1601-01-01T00:00:00Z</cp:lastPrinted>
  <dcterms:created xsi:type="dcterms:W3CDTF">2023-02-14T17:30:00Z</dcterms:created>
  <dcterms:modified xsi:type="dcterms:W3CDTF">2023-05-04T10:35:00Z</dcterms:modified>
</cp:coreProperties>
</file>