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B0" w:rsidRPr="009978FD" w:rsidRDefault="005308B0" w:rsidP="009978FD">
      <w:pPr>
        <w:pStyle w:val="Zv-Titlereport"/>
        <w:spacing w:line="228" w:lineRule="auto"/>
      </w:pPr>
      <w:r>
        <w:t>ОБРАБОТКА СИНТЕТИЧЕСКИХ ДАННЫХ ПО ТЕПЛОВЫМ НАГРУЗКАМ В СИСТЕМЕ НЕЙТРАЛЬНОЙ ИНЖЕКЦИИ С ПОМОЩЬЮ НЕЙРОННЫХ СЕТЕЙ</w:t>
      </w:r>
      <w:r w:rsidR="009978FD" w:rsidRPr="009978FD">
        <w:t xml:space="preserve"> </w:t>
      </w:r>
      <w:r w:rsidR="009978FD">
        <w:rPr>
          <w:rStyle w:val="aa"/>
        </w:rPr>
        <w:footnoteReference w:customMarkFollows="1" w:id="1"/>
        <w:t>*)</w:t>
      </w:r>
    </w:p>
    <w:p w:rsidR="005308B0" w:rsidRDefault="005308B0" w:rsidP="009978FD">
      <w:pPr>
        <w:pStyle w:val="Zv-Author"/>
        <w:spacing w:line="228" w:lineRule="auto"/>
      </w:pPr>
      <w:r>
        <w:rPr>
          <w:u w:val="single"/>
        </w:rPr>
        <w:t>Кичик М.Г.</w:t>
      </w:r>
      <w:r>
        <w:t>, Длугач Е.Д.</w:t>
      </w:r>
    </w:p>
    <w:p w:rsidR="005308B0" w:rsidRPr="005308B0" w:rsidRDefault="005308B0" w:rsidP="009978FD">
      <w:pPr>
        <w:pStyle w:val="Zv-Organization"/>
        <w:spacing w:line="228" w:lineRule="auto"/>
      </w:pPr>
      <w:r w:rsidRPr="005308B0">
        <w:t>НИЦ  «Курчатовский институт», Москва</w:t>
      </w:r>
      <w:r w:rsidRPr="005308B0">
        <w:rPr>
          <w:rStyle w:val="a7"/>
          <w:color w:val="auto"/>
          <w:u w:val="none"/>
        </w:rPr>
        <w:t xml:space="preserve">,  </w:t>
      </w:r>
      <w:hyperlink r:id="rId8" w:history="1">
        <w:r w:rsidRPr="00A423DA">
          <w:rPr>
            <w:rStyle w:val="a7"/>
          </w:rPr>
          <w:t>kichik.mg@phystech.edu</w:t>
        </w:r>
      </w:hyperlink>
    </w:p>
    <w:p w:rsidR="005308B0" w:rsidRPr="003D3C06" w:rsidRDefault="005308B0" w:rsidP="009978FD">
      <w:pPr>
        <w:pStyle w:val="Zv-bodyreport"/>
        <w:spacing w:line="228" w:lineRule="auto"/>
      </w:pPr>
      <w:r>
        <w:t xml:space="preserve">Код </w:t>
      </w:r>
      <w:r>
        <w:rPr>
          <w:lang w:val="en-US"/>
        </w:rPr>
        <w:t>BTR</w:t>
      </w:r>
      <w:r>
        <w:t xml:space="preserve"> (</w:t>
      </w:r>
      <w:r>
        <w:rPr>
          <w:i/>
          <w:lang w:val="en-US"/>
        </w:rPr>
        <w:t>Beam</w:t>
      </w:r>
      <w:r>
        <w:rPr>
          <w:i/>
        </w:rPr>
        <w:t xml:space="preserve"> </w:t>
      </w:r>
      <w:r>
        <w:rPr>
          <w:i/>
          <w:lang w:val="en-US"/>
        </w:rPr>
        <w:t>Transmission</w:t>
      </w:r>
      <w:r>
        <w:rPr>
          <w:i/>
        </w:rPr>
        <w:t xml:space="preserve"> </w:t>
      </w:r>
      <w:r>
        <w:rPr>
          <w:i/>
          <w:lang w:val="en-US"/>
        </w:rPr>
        <w:t>with</w:t>
      </w:r>
      <w:r>
        <w:rPr>
          <w:i/>
        </w:rPr>
        <w:t xml:space="preserve"> </w:t>
      </w:r>
      <w:r>
        <w:rPr>
          <w:i/>
          <w:lang w:val="en-US"/>
        </w:rPr>
        <w:t>Re</w:t>
      </w:r>
      <w:r>
        <w:rPr>
          <w:i/>
        </w:rPr>
        <w:t>-</w:t>
      </w:r>
      <w:r>
        <w:rPr>
          <w:i/>
          <w:lang w:val="en-US"/>
        </w:rPr>
        <w:t>ionization</w:t>
      </w:r>
      <w:r>
        <w:t>) [1,2] используется для проектирования и анализа систем нейтральной инжекции (</w:t>
      </w:r>
      <w:r>
        <w:rPr>
          <w:lang w:val="en-US"/>
        </w:rPr>
        <w:t>NBI</w:t>
      </w:r>
      <w:r>
        <w:t>). В частности, он активно использовался при разработке конструкции нагревных и диагностических инжекторов ИТЭР [3-5]. Основное</w:t>
      </w:r>
      <w:r w:rsidRPr="00BF297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назначение </w:t>
      </w:r>
      <w:r>
        <w:rPr>
          <w:color w:val="000000" w:themeColor="text1"/>
          <w:lang w:val="en-US"/>
        </w:rPr>
        <w:t>BTR</w:t>
      </w:r>
      <w:r>
        <w:t xml:space="preserve"> кода - моделирование эволюции пучка путем трассировки большого числа (миллиарды) частиц от ионного источника до входа в токамак. Благодаря высокой производительности и интерактивному интерфейсу, </w:t>
      </w:r>
      <w:r>
        <w:rPr>
          <w:lang w:val="en-US"/>
        </w:rPr>
        <w:t>BTR</w:t>
      </w:r>
      <w:r>
        <w:t xml:space="preserve"> подобен симулятору реальной установки и может применяться в учебных целях. </w:t>
      </w:r>
      <w:r>
        <w:rPr>
          <w:lang w:val="en-US"/>
        </w:rPr>
        <w:t>BTR</w:t>
      </w:r>
      <w:r>
        <w:t xml:space="preserve"> активно используется также для верификации других инжекционных кодов. Возможности и объем входных/выходных данных, включая уровень детализации геометрии, статистику частиц, разрешение профилей выделенной мощности, гибко адаптируются к различным задачам проектирования систем инжекции.</w:t>
      </w:r>
    </w:p>
    <w:p w:rsidR="005308B0" w:rsidRPr="003D3C06" w:rsidRDefault="005308B0" w:rsidP="009978FD">
      <w:pPr>
        <w:pStyle w:val="Zv-bodyreport"/>
        <w:spacing w:line="228" w:lineRule="auto"/>
      </w:pPr>
      <w:r>
        <w:t xml:space="preserve">Поскольку спектр применения </w:t>
      </w:r>
      <w:r>
        <w:rPr>
          <w:lang w:val="en-US"/>
        </w:rPr>
        <w:t>BTR</w:t>
      </w:r>
      <w:r>
        <w:t xml:space="preserve"> кода включает получение карт тепловой нагрузки на элементах инжектора и анализ вклада отдельных составляющих пучка, его можно использовать для генерации синтетических данных, в целях анализа и классификации нагрузок в системах диагностики и управления пучком. Синтетические тепловые карты нагрузки в инжекторе могут использоваться также для восстановления параметров пучка и режимов работы инжектора.</w:t>
      </w:r>
    </w:p>
    <w:p w:rsidR="005308B0" w:rsidRPr="00D41E6C" w:rsidRDefault="005308B0" w:rsidP="009978FD">
      <w:pPr>
        <w:pStyle w:val="Zv-bodyreport"/>
        <w:spacing w:line="228" w:lineRule="auto"/>
        <w:rPr>
          <w:color w:val="00A933"/>
        </w:rPr>
      </w:pPr>
      <w:r>
        <w:t xml:space="preserve">В данной работе решается задача классификации карт тепловых нагрузок в инжекторе с помощью средств машинного обучения </w:t>
      </w:r>
      <w:r>
        <w:rPr>
          <w:lang w:val="en-US"/>
        </w:rPr>
        <w:t>Python</w:t>
      </w:r>
      <w:r w:rsidRPr="00FB1859">
        <w:t xml:space="preserve"> </w:t>
      </w:r>
      <w:r>
        <w:t xml:space="preserve">[6,7]. </w:t>
      </w:r>
      <w:r w:rsidRPr="00BF2979">
        <w:rPr>
          <w:color w:val="000000" w:themeColor="text1"/>
        </w:rPr>
        <w:t>Реализован алгоритм машинного обучения, который</w:t>
      </w:r>
      <w:r>
        <w:t xml:space="preserve"> включает следующие основные этапы: 1) генерация данных </w:t>
      </w:r>
      <w:r>
        <w:rPr>
          <w:lang w:val="en-US"/>
        </w:rPr>
        <w:t>BTR</w:t>
      </w:r>
      <w:r>
        <w:t xml:space="preserve"> кодом в виде 2-мерных массивов нагрузки; 2) разметка данных (классификация</w:t>
      </w:r>
      <w:r w:rsidRPr="00FB1859">
        <w:rPr>
          <w:color w:val="C9211E"/>
        </w:rPr>
        <w:t xml:space="preserve"> </w:t>
      </w:r>
      <w:r w:rsidRPr="00BF2979">
        <w:rPr>
          <w:color w:val="000000" w:themeColor="text1"/>
        </w:rPr>
        <w:t>типа нагрузки</w:t>
      </w:r>
      <w:r>
        <w:t>); 3) подготовка данных для обучения (фильтрация, стандартизация, нормировка); 4) выбор функции потерь и критерия качества; 5) обучение нейронной модели (</w:t>
      </w:r>
      <w:r>
        <w:rPr>
          <w:lang w:val="en-US"/>
        </w:rPr>
        <w:t>NN</w:t>
      </w:r>
      <w:r>
        <w:t xml:space="preserve">) на </w:t>
      </w:r>
      <w:r w:rsidRPr="00BF2979">
        <w:rPr>
          <w:color w:val="000000" w:themeColor="text1"/>
        </w:rPr>
        <w:t xml:space="preserve">основном </w:t>
      </w:r>
      <w:r>
        <w:t xml:space="preserve">наборе данных; 6) оценка качества обучения модели на контрольном наборе данных. Приводится сравнительный анализ производительности и качества обучения для различных типов и архитектур </w:t>
      </w:r>
      <w:r>
        <w:rPr>
          <w:lang w:val="en-US"/>
        </w:rPr>
        <w:t>NN</w:t>
      </w:r>
      <w:r>
        <w:t>. И</w:t>
      </w:r>
      <w:r w:rsidRPr="00BF2979">
        <w:rPr>
          <w:color w:val="000000" w:themeColor="text1"/>
        </w:rPr>
        <w:t>сследованы основные способы борьбы с переобучением.</w:t>
      </w:r>
    </w:p>
    <w:p w:rsidR="005308B0" w:rsidRPr="003D3C06" w:rsidRDefault="005308B0" w:rsidP="009978FD">
      <w:pPr>
        <w:pStyle w:val="Zv-bodyreport"/>
        <w:spacing w:line="228" w:lineRule="auto"/>
      </w:pPr>
      <w:r>
        <w:t>При обучении линейной модели (</w:t>
      </w:r>
      <w:r>
        <w:rPr>
          <w:lang w:val="en-US"/>
        </w:rPr>
        <w:t>LNN</w:t>
      </w:r>
      <w:r>
        <w:t xml:space="preserve">) достигнута точность предсказаний классификатора 79%, при использовании архитектуры </w:t>
      </w:r>
      <w:r>
        <w:rPr>
          <w:lang w:val="en-US"/>
        </w:rPr>
        <w:t>CNN</w:t>
      </w:r>
      <w:r>
        <w:t xml:space="preserve"> (сверточная нейронная сеть) точность предсказаний достигает 86%. Дальнейшее совершенствование алгоритмов обучения и оптимизация архитектуры модели позволит использовать созданную систему обработки экспериментальных данных для отслеживания фокусировки ионного пучка и условий его транспортировки. Это позволит оперативно корректировать параметры источника для повышения эффективности инжектора и всей термоядерной установки.</w:t>
      </w:r>
    </w:p>
    <w:p w:rsidR="005308B0" w:rsidRDefault="005308B0" w:rsidP="009978FD">
      <w:pPr>
        <w:pStyle w:val="Zv-bodyreport"/>
        <w:spacing w:before="120" w:line="228" w:lineRule="auto"/>
      </w:pPr>
      <w:r>
        <w:t>Работа проведена при поддержке НИЦ «Курчатовский институт», Москва, Россия.</w:t>
      </w:r>
    </w:p>
    <w:p w:rsidR="005308B0" w:rsidRDefault="005308B0" w:rsidP="009978FD">
      <w:pPr>
        <w:pStyle w:val="Zv-TitleReferences-ru"/>
        <w:spacing w:line="228" w:lineRule="auto"/>
      </w:pPr>
      <w:r>
        <w:t>Литература</w:t>
      </w:r>
    </w:p>
    <w:p w:rsidR="005308B0" w:rsidRDefault="005308B0" w:rsidP="009978FD">
      <w:pPr>
        <w:pStyle w:val="Zv-References-ru"/>
        <w:numPr>
          <w:ilvl w:val="0"/>
          <w:numId w:val="8"/>
        </w:numPr>
        <w:suppressAutoHyphens/>
        <w:spacing w:line="228" w:lineRule="auto"/>
        <w:rPr>
          <w:lang w:val="en-US"/>
        </w:rPr>
      </w:pPr>
      <w:r>
        <w:rPr>
          <w:lang w:val="en-US"/>
        </w:rPr>
        <w:t xml:space="preserve">E.Dlougach, BTR code for neutral beam design. </w:t>
      </w:r>
      <w:hyperlink r:id="rId9" w:history="1">
        <w:r w:rsidRPr="00A423DA">
          <w:rPr>
            <w:rStyle w:val="a7"/>
            <w:lang w:val="en-US"/>
          </w:rPr>
          <w:t>https://sites.google.com/view/btr-code/home</w:t>
        </w:r>
      </w:hyperlink>
    </w:p>
    <w:p w:rsidR="005308B0" w:rsidRDefault="005308B0" w:rsidP="009978FD">
      <w:pPr>
        <w:pStyle w:val="Zv-References-ru"/>
        <w:numPr>
          <w:ilvl w:val="0"/>
          <w:numId w:val="8"/>
        </w:numPr>
        <w:suppressAutoHyphens/>
        <w:spacing w:line="228" w:lineRule="auto"/>
        <w:rPr>
          <w:lang w:val="en-US"/>
        </w:rPr>
      </w:pPr>
      <w:r>
        <w:rPr>
          <w:lang w:val="en-US"/>
        </w:rPr>
        <w:t>Dlougach E.D. BTR code for NBI design and study. VANT, Fusion series, 2021, v.44, No.1, pp. 68–79</w:t>
      </w:r>
    </w:p>
    <w:p w:rsidR="005308B0" w:rsidRDefault="005308B0" w:rsidP="009978FD">
      <w:pPr>
        <w:pStyle w:val="Zv-References-ru"/>
        <w:numPr>
          <w:ilvl w:val="0"/>
          <w:numId w:val="8"/>
        </w:numPr>
        <w:suppressAutoHyphens/>
        <w:spacing w:line="228" w:lineRule="auto"/>
        <w:rPr>
          <w:lang w:val="en-US"/>
        </w:rPr>
      </w:pPr>
      <w:r>
        <w:rPr>
          <w:lang w:val="en-US"/>
        </w:rPr>
        <w:t>R S Hemsworth et al 2017 New J. Phys. 19 025005, /doi.org/10.1088/1367-2630/19/2/025005</w:t>
      </w:r>
    </w:p>
    <w:p w:rsidR="005308B0" w:rsidRDefault="005308B0" w:rsidP="009978FD">
      <w:pPr>
        <w:pStyle w:val="Zv-References-ru"/>
        <w:numPr>
          <w:ilvl w:val="0"/>
          <w:numId w:val="8"/>
        </w:numPr>
        <w:suppressAutoHyphens/>
        <w:spacing w:line="228" w:lineRule="auto"/>
        <w:rPr>
          <w:lang w:val="en-US"/>
        </w:rPr>
      </w:pPr>
      <w:r>
        <w:rPr>
          <w:lang w:val="en-US"/>
        </w:rPr>
        <w:t>G Serianni </w:t>
      </w:r>
      <w:r>
        <w:rPr>
          <w:i/>
          <w:iCs/>
          <w:lang w:val="en-US"/>
        </w:rPr>
        <w:t>et al</w:t>
      </w:r>
      <w:r>
        <w:rPr>
          <w:lang w:val="en-US"/>
        </w:rPr>
        <w:t> 2017 </w:t>
      </w:r>
      <w:r>
        <w:rPr>
          <w:i/>
          <w:iCs/>
          <w:lang w:val="en-US"/>
        </w:rPr>
        <w:t>New J. Phys.</w:t>
      </w:r>
      <w:r>
        <w:rPr>
          <w:lang w:val="en-US"/>
        </w:rPr>
        <w:t> 19 045003 doi.org/10.1088/1367-2630/aa64bd</w:t>
      </w:r>
    </w:p>
    <w:p w:rsidR="005308B0" w:rsidRDefault="005308B0" w:rsidP="009978FD">
      <w:pPr>
        <w:pStyle w:val="Zv-References-ru"/>
        <w:numPr>
          <w:ilvl w:val="0"/>
          <w:numId w:val="8"/>
        </w:numPr>
        <w:suppressAutoHyphens/>
        <w:spacing w:line="228" w:lineRule="auto"/>
        <w:rPr>
          <w:lang w:val="fr-FR"/>
        </w:rPr>
      </w:pPr>
      <w:r>
        <w:rPr>
          <w:lang w:val="fr-FR"/>
        </w:rPr>
        <w:t xml:space="preserve">D Palma </w:t>
      </w:r>
      <w:r>
        <w:rPr>
          <w:i/>
          <w:lang w:val="fr-FR"/>
        </w:rPr>
        <w:t>et a</w:t>
      </w:r>
      <w:r>
        <w:rPr>
          <w:lang w:val="fr-FR"/>
        </w:rPr>
        <w:t>. Fusion Eng. Des. 2021, 171, 112559.</w:t>
      </w:r>
      <w:hyperlink r:id="rId10" w:tgtFrame="Persistent link using digital object identifier">
        <w:r>
          <w:rPr>
            <w:lang w:val="fr-FR"/>
          </w:rPr>
          <w:t>doi.org/10.1016/j.fusengdes.2021.112559</w:t>
        </w:r>
      </w:hyperlink>
    </w:p>
    <w:p w:rsidR="005308B0" w:rsidRDefault="005308B0" w:rsidP="009978FD">
      <w:pPr>
        <w:pStyle w:val="Zv-References-ru"/>
        <w:numPr>
          <w:ilvl w:val="0"/>
          <w:numId w:val="8"/>
        </w:numPr>
        <w:suppressAutoHyphens/>
        <w:spacing w:line="228" w:lineRule="auto"/>
        <w:rPr>
          <w:lang w:val="en-US"/>
        </w:rPr>
      </w:pPr>
      <w:r>
        <w:rPr>
          <w:lang w:val="en-US"/>
        </w:rPr>
        <w:t>A C Müller, S Guido, Introduction to Machine Learning with Python, O'Reilly Media, Inc., 2016, ISBN: 9781449369415</w:t>
      </w:r>
    </w:p>
    <w:p w:rsidR="005308B0" w:rsidRPr="00D16229" w:rsidRDefault="005308B0" w:rsidP="009978FD">
      <w:pPr>
        <w:pStyle w:val="Zv-References-ru"/>
        <w:numPr>
          <w:ilvl w:val="0"/>
          <w:numId w:val="8"/>
        </w:numPr>
        <w:suppressAutoHyphens/>
        <w:spacing w:line="228" w:lineRule="auto"/>
        <w:rPr>
          <w:b/>
          <w:bCs/>
          <w:lang w:val="en-US"/>
        </w:rPr>
      </w:pPr>
      <w:r>
        <w:rPr>
          <w:lang w:val="en-US"/>
        </w:rPr>
        <w:t xml:space="preserve">I Goodfellow, Y Bengio, A Courville, Deep Learning, MIT Press, 2016  </w:t>
      </w:r>
    </w:p>
    <w:sectPr w:rsidR="005308B0" w:rsidRPr="00D16229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CE" w:rsidRDefault="008C4ACE">
      <w:r>
        <w:separator/>
      </w:r>
    </w:p>
  </w:endnote>
  <w:endnote w:type="continuationSeparator" w:id="0">
    <w:p w:rsidR="008C4ACE" w:rsidRDefault="008C4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367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730054" w:rsidRDefault="0037367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78FD">
      <w:rPr>
        <w:rStyle w:val="a5"/>
        <w:noProof/>
      </w:rPr>
      <w:t>1</w:t>
    </w:r>
    <w:r>
      <w:rPr>
        <w:rStyle w:val="a5"/>
      </w:rPr>
      <w:fldChar w:fldCharType="end"/>
    </w:r>
    <w:r w:rsidR="00730054">
      <w:rPr>
        <w:rStyle w:val="a5"/>
        <w:lang w:val="en-US"/>
      </w:rPr>
      <w:t>15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CE" w:rsidRDefault="008C4ACE">
      <w:r>
        <w:separator/>
      </w:r>
    </w:p>
  </w:footnote>
  <w:footnote w:type="continuationSeparator" w:id="0">
    <w:p w:rsidR="008C4ACE" w:rsidRDefault="008C4ACE">
      <w:r>
        <w:continuationSeparator/>
      </w:r>
    </w:p>
  </w:footnote>
  <w:footnote w:id="1">
    <w:p w:rsidR="009978FD" w:rsidRPr="009978FD" w:rsidRDefault="009978FD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9978FD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5308B0">
      <w:rPr>
        <w:sz w:val="20"/>
      </w:rPr>
      <w:t>20</w:t>
    </w:r>
    <w:r w:rsidR="00C62CFE">
      <w:rPr>
        <w:sz w:val="20"/>
      </w:rPr>
      <w:t xml:space="preserve"> – </w:t>
    </w:r>
    <w:r w:rsidR="00700C3A" w:rsidRPr="005308B0">
      <w:rPr>
        <w:sz w:val="20"/>
      </w:rPr>
      <w:t>2</w:t>
    </w:r>
    <w:r w:rsidR="00577A8A" w:rsidRPr="005308B0">
      <w:rPr>
        <w:sz w:val="20"/>
      </w:rPr>
      <w:t>4</w:t>
    </w:r>
    <w:r w:rsidR="00C62CFE">
      <w:rPr>
        <w:sz w:val="20"/>
      </w:rPr>
      <w:t xml:space="preserve"> марта 20</w:t>
    </w:r>
    <w:r w:rsidR="00C62CFE" w:rsidRPr="005308B0">
      <w:rPr>
        <w:sz w:val="20"/>
      </w:rPr>
      <w:t>2</w:t>
    </w:r>
    <w:r w:rsidR="00700C3A" w:rsidRPr="005308B0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37367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4E301F"/>
    <w:multiLevelType w:val="multilevel"/>
    <w:tmpl w:val="A62083AA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4AC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73677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308B0"/>
    <w:rsid w:val="00567C6F"/>
    <w:rsid w:val="00572013"/>
    <w:rsid w:val="00577A8A"/>
    <w:rsid w:val="0058676C"/>
    <w:rsid w:val="00603AC5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0054"/>
    <w:rsid w:val="00732A2E"/>
    <w:rsid w:val="007B6378"/>
    <w:rsid w:val="007D3F59"/>
    <w:rsid w:val="00802D35"/>
    <w:rsid w:val="008706DF"/>
    <w:rsid w:val="008C4ACE"/>
    <w:rsid w:val="008E2894"/>
    <w:rsid w:val="009352E6"/>
    <w:rsid w:val="0094721E"/>
    <w:rsid w:val="009551FC"/>
    <w:rsid w:val="009978FD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308B0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5308B0"/>
    <w:rPr>
      <w:sz w:val="24"/>
      <w:szCs w:val="24"/>
    </w:rPr>
  </w:style>
  <w:style w:type="paragraph" w:styleId="a8">
    <w:name w:val="footnote text"/>
    <w:basedOn w:val="a"/>
    <w:link w:val="a9"/>
    <w:rsid w:val="009978F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978FD"/>
  </w:style>
  <w:style w:type="character" w:styleId="aa">
    <w:name w:val="footnote reference"/>
    <w:basedOn w:val="a0"/>
    <w:rsid w:val="009978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chik.mg@phystech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fusengdes.2021.1125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btr-code/home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W-Kichi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376D1-2585-4976-B593-A817AC30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437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ОБРАБОТКА СИНТЕТИЧЕСКИХ ДАННЫХ ПО ТЕПЛОВЫМ НАГРУЗКАМ В СИСТЕМЕ НЕЙТРАЛЬНОЙ ИНЖЕКЦИИ С ПОМОЩЬЮ НЕЙРОННЫХ СЕТЕЙ</dc:title>
  <dc:creator/>
  <cp:lastModifiedBy>Сатунин</cp:lastModifiedBy>
  <cp:revision>3</cp:revision>
  <cp:lastPrinted>1601-01-01T00:00:00Z</cp:lastPrinted>
  <dcterms:created xsi:type="dcterms:W3CDTF">2023-02-13T19:43:00Z</dcterms:created>
  <dcterms:modified xsi:type="dcterms:W3CDTF">2023-05-15T11:36:00Z</dcterms:modified>
</cp:coreProperties>
</file>