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0D" w:rsidRPr="00F20315" w:rsidRDefault="0090570D" w:rsidP="00F20315">
      <w:pPr>
        <w:pStyle w:val="Zv-Titlereport"/>
        <w:spacing w:line="235" w:lineRule="auto"/>
        <w:rPr>
          <w:sz w:val="22"/>
          <w:szCs w:val="22"/>
        </w:rPr>
      </w:pPr>
      <w:r w:rsidRPr="000D5B28">
        <w:t>Расчет полоидальной магнитной системы токамака МИФИСТ-0</w:t>
      </w:r>
      <w:r w:rsidR="00F20315" w:rsidRPr="00F20315">
        <w:t xml:space="preserve"> </w:t>
      </w:r>
      <w:r w:rsidR="00F20315">
        <w:rPr>
          <w:rStyle w:val="a9"/>
        </w:rPr>
        <w:footnoteReference w:customMarkFollows="1" w:id="1"/>
        <w:t>*)</w:t>
      </w:r>
    </w:p>
    <w:p w:rsidR="0090570D" w:rsidRDefault="0090570D" w:rsidP="00F20315">
      <w:pPr>
        <w:pStyle w:val="Zv-Author"/>
        <w:spacing w:line="235" w:lineRule="auto"/>
      </w:pPr>
      <w:r w:rsidRPr="003620C8">
        <w:rPr>
          <w:vertAlign w:val="superscript"/>
        </w:rPr>
        <w:t>1,2</w:t>
      </w:r>
      <w:r w:rsidRPr="003620C8">
        <w:rPr>
          <w:u w:val="single"/>
        </w:rPr>
        <w:t>Уласевич</w:t>
      </w:r>
      <w:r w:rsidRPr="00F304C5">
        <w:rPr>
          <w:u w:val="single"/>
        </w:rPr>
        <w:t xml:space="preserve"> </w:t>
      </w:r>
      <w:r>
        <w:rPr>
          <w:u w:val="single"/>
        </w:rPr>
        <w:t>Д.</w:t>
      </w:r>
      <w:r w:rsidRPr="003620C8">
        <w:rPr>
          <w:u w:val="single"/>
        </w:rPr>
        <w:t>Л.</w:t>
      </w:r>
      <w:r>
        <w:t xml:space="preserve">, </w:t>
      </w:r>
      <w:r w:rsidRPr="003620C8">
        <w:rPr>
          <w:vertAlign w:val="superscript"/>
        </w:rPr>
        <w:t>1</w:t>
      </w:r>
      <w:r>
        <w:t>Хайрутдинов</w:t>
      </w:r>
      <w:r w:rsidRPr="00F304C5">
        <w:t xml:space="preserve"> </w:t>
      </w:r>
      <w:r>
        <w:t xml:space="preserve">Р.Р., </w:t>
      </w:r>
      <w:r w:rsidRPr="003620C8">
        <w:rPr>
          <w:vertAlign w:val="superscript"/>
        </w:rPr>
        <w:t>1</w:t>
      </w:r>
      <w:r>
        <w:t>Лукаш</w:t>
      </w:r>
      <w:r w:rsidRPr="00F304C5">
        <w:t xml:space="preserve"> </w:t>
      </w:r>
      <w:r>
        <w:t>В.Э.</w:t>
      </w:r>
    </w:p>
    <w:p w:rsidR="0090570D" w:rsidRPr="000D5B28" w:rsidRDefault="0090570D" w:rsidP="00F20315">
      <w:pPr>
        <w:pStyle w:val="Zv-Organization"/>
        <w:spacing w:line="235" w:lineRule="auto"/>
      </w:pPr>
      <w:r w:rsidRPr="000D5B28">
        <w:rPr>
          <w:vertAlign w:val="superscript"/>
        </w:rPr>
        <w:t>1</w:t>
      </w:r>
      <w:r w:rsidRPr="000D5B28">
        <w:t>НИЦ «Курчатовский Институт», г. Москва, Россия</w:t>
      </w:r>
      <w:r w:rsidRPr="000D5B28">
        <w:br/>
      </w:r>
      <w:r w:rsidRPr="000D5B28">
        <w:rPr>
          <w:vertAlign w:val="superscript"/>
        </w:rPr>
        <w:t>2</w:t>
      </w:r>
      <w:r w:rsidRPr="000D5B28">
        <w:t>НИЯУ «МИФИ», г. Москва, Россия</w:t>
      </w:r>
    </w:p>
    <w:p w:rsidR="0090570D" w:rsidRPr="008802B0" w:rsidRDefault="0090570D" w:rsidP="00F20315">
      <w:pPr>
        <w:pStyle w:val="Zv-bodyreport"/>
        <w:spacing w:line="235" w:lineRule="auto"/>
      </w:pPr>
      <w:r w:rsidRPr="008802B0">
        <w:t>МИФИСТ-0 [1] – это учебно-демонстрационный малый сферический токамак, создаваемый на кафедре Физики Плазмы НИЯУ МИФИ с 2019 года. Полоидальная система токамака состоит из двух независимых частей. Первая – индуктор, включающий в себя центральный соленоид CS и соединённые с ним последовательно компенсационные витки СС, предназначенные для обеспечения пробоя плазмы за счет создания области минимума вертикальной компоненты магнитного поля. Вторая часть полоидальной системы состоит из 6 независимых управляющих катушек PF, на которые можно подавать ток заранее спрограммированной формы. Данные катушки отвечают за управление формой и положением плазменного шнура в пространстве. В работе [2] была описана модель полоидальной системы, а также приведен алгоритм расчета оптимальной в плане минимизации вертикальной компоненты магнитного поля индуктора в зоне пробоя.</w:t>
      </w:r>
    </w:p>
    <w:p w:rsidR="0090570D" w:rsidRPr="008802B0" w:rsidRDefault="0090570D" w:rsidP="00F20315">
      <w:pPr>
        <w:pStyle w:val="Zv-bodyreport"/>
        <w:spacing w:line="235" w:lineRule="auto"/>
      </w:pPr>
      <w:r w:rsidRPr="008802B0">
        <w:t>В полученную ранее модель полоидальной системы был добавлен учет эффекта от «винтовой конфигурации» тороидальных катушек, связанный с их компоновкой в виде «навивающегося» вокруг тороидальной камеры элемента. В связи с этим возникает наклон катушек на π/12, и они оказывают влияние на вертикальную компоненту магнитного поля.</w:t>
      </w:r>
    </w:p>
    <w:p w:rsidR="0090570D" w:rsidRPr="008802B0" w:rsidRDefault="0090570D" w:rsidP="00F20315">
      <w:pPr>
        <w:pStyle w:val="Zv-bodyreport"/>
        <w:spacing w:line="235" w:lineRule="auto"/>
      </w:pPr>
      <w:r w:rsidRPr="008802B0">
        <w:t xml:space="preserve">Влияние на вертикальную компоненту магнитного поля учитывается с помощью добавления 17 полоидальных проводников TS. Для этого подбиралась такая конфигурация, чтобы расчетные распределения токов оказывались бы максимально близкими к экспериментальным, что позволило улучшить получаемые результаты более, чем на 20 %. </w:t>
      </w:r>
    </w:p>
    <w:p w:rsidR="0090570D" w:rsidRPr="008802B0" w:rsidRDefault="0090570D" w:rsidP="00F20315">
      <w:pPr>
        <w:pStyle w:val="Zv-bodyreport"/>
        <w:spacing w:line="235" w:lineRule="auto"/>
      </w:pPr>
      <w:r w:rsidRPr="008802B0">
        <w:t xml:space="preserve">На основе полученной конфигурации полоидальной системы при помощи кода ДИНА [3] были рассчитаны различные варианты эволюции плазмы для различных способов подключения управляющих катушек. Основной задачей в этом случае являлась проверка возможности уменьшить требования по количеству независимых источников питания и требования по максимальным величинам тока, генерируемым данными источниками. По результатам расчетов была выбрана конфигурация из 4 источников: 1 источник с напряжением 1.2 кВ и 3 источника по 700 В для питания соединенных попарно симметрично расположенных управляющих катушек. Основные параметры сценариев приведены в таблице 1.  </w:t>
      </w:r>
    </w:p>
    <w:p w:rsidR="0090570D" w:rsidRPr="000D5B28" w:rsidRDefault="0090570D" w:rsidP="00F20315">
      <w:pPr>
        <w:pStyle w:val="Zv-bodyreport"/>
        <w:spacing w:line="235" w:lineRule="auto"/>
        <w:jc w:val="center"/>
        <w:rPr>
          <w:i/>
          <w:iCs/>
          <w:sz w:val="20"/>
          <w:szCs w:val="20"/>
        </w:rPr>
      </w:pPr>
      <w:r w:rsidRPr="000D5B28">
        <w:rPr>
          <w:sz w:val="20"/>
          <w:szCs w:val="20"/>
        </w:rPr>
        <w:t>Таблица 1. Основные параметры разряда</w:t>
      </w:r>
    </w:p>
    <w:tbl>
      <w:tblPr>
        <w:tblStyle w:val="21"/>
        <w:tblW w:w="5920" w:type="dxa"/>
        <w:jc w:val="center"/>
        <w:tblLook w:val="0400"/>
      </w:tblPr>
      <w:tblGrid>
        <w:gridCol w:w="4472"/>
        <w:gridCol w:w="1448"/>
      </w:tblGrid>
      <w:tr w:rsidR="0090570D" w:rsidRPr="000D5B28" w:rsidTr="00A73944">
        <w:trPr>
          <w:cnfStyle w:val="000000100000"/>
          <w:trHeight w:val="217"/>
          <w:jc w:val="center"/>
        </w:trPr>
        <w:tc>
          <w:tcPr>
            <w:tcW w:w="4472" w:type="dxa"/>
            <w:hideMark/>
          </w:tcPr>
          <w:p w:rsidR="0090570D" w:rsidRPr="000D5B28" w:rsidRDefault="0090570D" w:rsidP="00F20315">
            <w:pPr>
              <w:pStyle w:val="Zv-bodyreport"/>
              <w:spacing w:line="235" w:lineRule="auto"/>
              <w:rPr>
                <w:rFonts w:ascii="Times New Roman" w:eastAsia="SFRM1440" w:hAnsi="Times New Roman" w:cs="Times New Roman"/>
                <w:sz w:val="20"/>
                <w:szCs w:val="20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SFRM1440" w:hAnsi="Cambria Math" w:cs="Times New Roman"/>
                    <w:sz w:val="20"/>
                    <w:szCs w:val="20"/>
                    <w:lang w:val="en-US"/>
                  </w:rPr>
                  <m:t>τ</m:t>
                </m:r>
              </m:oMath>
            </m:oMathPara>
          </w:p>
        </w:tc>
        <w:tc>
          <w:tcPr>
            <w:tcW w:w="1448" w:type="dxa"/>
            <w:hideMark/>
          </w:tcPr>
          <w:p w:rsidR="0090570D" w:rsidRPr="000D5B28" w:rsidRDefault="0090570D" w:rsidP="00F20315">
            <w:pPr>
              <w:pStyle w:val="Zv-bodyreport"/>
              <w:spacing w:line="235" w:lineRule="auto"/>
              <w:rPr>
                <w:rFonts w:ascii="Times New Roman" w:eastAsia="SFRM1440" w:hAnsi="Times New Roman" w:cs="Times New Roman"/>
                <w:sz w:val="20"/>
                <w:szCs w:val="20"/>
              </w:rPr>
            </w:pPr>
            <w:r w:rsidRPr="000D5B28">
              <w:rPr>
                <w:rFonts w:ascii="Times New Roman" w:eastAsia="SFRM1440" w:hAnsi="Times New Roman" w:cs="Times New Roman"/>
                <w:sz w:val="20"/>
                <w:szCs w:val="20"/>
              </w:rPr>
              <w:t>20 мс</w:t>
            </w:r>
          </w:p>
        </w:tc>
      </w:tr>
      <w:tr w:rsidR="0090570D" w:rsidRPr="000D5B28" w:rsidTr="00A73944">
        <w:trPr>
          <w:trHeight w:val="225"/>
          <w:jc w:val="center"/>
        </w:trPr>
        <w:tc>
          <w:tcPr>
            <w:tcW w:w="4472" w:type="dxa"/>
            <w:hideMark/>
          </w:tcPr>
          <w:p w:rsidR="0090570D" w:rsidRPr="000D5B28" w:rsidRDefault="0006234B" w:rsidP="00F20315">
            <w:pPr>
              <w:pStyle w:val="Zv-bodyreport"/>
              <w:spacing w:line="235" w:lineRule="auto"/>
              <w:rPr>
                <w:rFonts w:ascii="Times New Roman" w:eastAsia="SFRM1440" w:hAnsi="Times New Roman" w:cs="Times New Roman"/>
                <w:sz w:val="20"/>
                <w:szCs w:val="20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eastAsia="SFRM1440" w:hAnsi="Cambria Math" w:cs="Times New Roman"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SFRM1440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FRM1440" w:hAnsi="Cambria Math" w:cs="Times New Roman"/>
                        <w:sz w:val="20"/>
                        <w:szCs w:val="20"/>
                        <w:lang w:val="en-US"/>
                      </w:rPr>
                      <m:t>pl </m:t>
                    </m:r>
                    <m:r>
                      <w:rPr>
                        <w:rFonts w:ascii="Cambria Math" w:eastAsia="SFRM1440" w:hAnsi="Cambria Math" w:cs="Times New Roman"/>
                        <w:sz w:val="20"/>
                        <w:szCs w:val="20"/>
                        <w:lang w:val="en-US"/>
                      </w:rPr>
                      <m:t>max</m:t>
                    </m:r>
                  </m:sub>
                </m:sSub>
              </m:oMath>
            </m:oMathPara>
          </w:p>
        </w:tc>
        <w:tc>
          <w:tcPr>
            <w:tcW w:w="1448" w:type="dxa"/>
            <w:hideMark/>
          </w:tcPr>
          <w:p w:rsidR="0090570D" w:rsidRPr="000D5B28" w:rsidRDefault="0090570D" w:rsidP="00F20315">
            <w:pPr>
              <w:pStyle w:val="Zv-bodyreport"/>
              <w:spacing w:line="235" w:lineRule="auto"/>
              <w:rPr>
                <w:rFonts w:ascii="Times New Roman" w:eastAsia="SFRM1440" w:hAnsi="Times New Roman" w:cs="Times New Roman"/>
                <w:sz w:val="20"/>
                <w:szCs w:val="20"/>
              </w:rPr>
            </w:pPr>
            <w:r w:rsidRPr="000D5B28">
              <w:rPr>
                <w:rFonts w:ascii="Times New Roman" w:eastAsia="SFRM1440" w:hAnsi="Times New Roman" w:cs="Times New Roman"/>
                <w:sz w:val="20"/>
                <w:szCs w:val="20"/>
              </w:rPr>
              <w:t>10 кА</w:t>
            </w:r>
          </w:p>
        </w:tc>
      </w:tr>
      <w:tr w:rsidR="0090570D" w:rsidRPr="000D5B28" w:rsidTr="00A73944">
        <w:trPr>
          <w:cnfStyle w:val="000000100000"/>
          <w:trHeight w:val="217"/>
          <w:jc w:val="center"/>
        </w:trPr>
        <w:tc>
          <w:tcPr>
            <w:tcW w:w="4472" w:type="dxa"/>
            <w:hideMark/>
          </w:tcPr>
          <w:p w:rsidR="0090570D" w:rsidRPr="000D5B28" w:rsidRDefault="0006234B" w:rsidP="00F20315">
            <w:pPr>
              <w:pStyle w:val="Zv-bodyreport"/>
              <w:spacing w:line="235" w:lineRule="auto"/>
              <w:rPr>
                <w:rFonts w:ascii="Times New Roman" w:eastAsia="SFRM1440" w:hAnsi="Times New Roman" w:cs="Times New Roman"/>
                <w:sz w:val="20"/>
                <w:szCs w:val="20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eastAsia="SFRM1440" w:hAnsi="Cambria Math" w:cs="Times New Roman"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SFRM1440" w:hAnsi="Cambria Math" w:cs="Times New Roman"/>
                        <w:sz w:val="20"/>
                        <w:szCs w:val="20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="SFRM1440" w:hAnsi="Cambria Math" w:cs="Times New Roman"/>
                        <w:sz w:val="20"/>
                        <w:szCs w:val="20"/>
                        <w:lang w:val="en-US"/>
                      </w:rPr>
                      <m:t>tor</m:t>
                    </m:r>
                  </m:sub>
                </m:sSub>
              </m:oMath>
            </m:oMathPara>
          </w:p>
        </w:tc>
        <w:tc>
          <w:tcPr>
            <w:tcW w:w="1448" w:type="dxa"/>
            <w:hideMark/>
          </w:tcPr>
          <w:p w:rsidR="0090570D" w:rsidRPr="000D5B28" w:rsidRDefault="0090570D" w:rsidP="00F20315">
            <w:pPr>
              <w:pStyle w:val="Zv-bodyreport"/>
              <w:spacing w:line="235" w:lineRule="auto"/>
              <w:rPr>
                <w:rFonts w:ascii="Times New Roman" w:eastAsia="SFRM1440" w:hAnsi="Times New Roman" w:cs="Times New Roman"/>
                <w:sz w:val="20"/>
                <w:szCs w:val="20"/>
              </w:rPr>
            </w:pPr>
            <w:r w:rsidRPr="000D5B28">
              <w:rPr>
                <w:rFonts w:ascii="Times New Roman" w:eastAsia="SFRM1440" w:hAnsi="Times New Roman" w:cs="Times New Roman"/>
                <w:sz w:val="20"/>
                <w:szCs w:val="20"/>
                <w:lang w:val="en-US"/>
              </w:rPr>
              <w:t xml:space="preserve">0.4 </w:t>
            </w:r>
            <w:r w:rsidRPr="000D5B28">
              <w:rPr>
                <w:rFonts w:ascii="Times New Roman" w:eastAsia="SFRM1440" w:hAnsi="Times New Roman" w:cs="Times New Roman"/>
                <w:sz w:val="20"/>
                <w:szCs w:val="20"/>
              </w:rPr>
              <w:t>Т</w:t>
            </w:r>
          </w:p>
        </w:tc>
      </w:tr>
      <w:tr w:rsidR="0090570D" w:rsidRPr="000D5B28" w:rsidTr="00A73944">
        <w:trPr>
          <w:trHeight w:val="217"/>
          <w:jc w:val="center"/>
        </w:trPr>
        <w:tc>
          <w:tcPr>
            <w:tcW w:w="4472" w:type="dxa"/>
            <w:hideMark/>
          </w:tcPr>
          <w:p w:rsidR="0090570D" w:rsidRPr="000D5B28" w:rsidRDefault="0090570D" w:rsidP="00F20315">
            <w:pPr>
              <w:pStyle w:val="Zv-bodyreport"/>
              <w:spacing w:line="235" w:lineRule="auto"/>
              <w:rPr>
                <w:rFonts w:ascii="Times New Roman" w:eastAsia="SFRM1440" w:hAnsi="Times New Roman" w:cs="Times New Roman"/>
                <w:sz w:val="20"/>
                <w:szCs w:val="20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SFRM1440" w:hAnsi="Cambria Math" w:cs="Times New Roman"/>
                    <w:sz w:val="20"/>
                    <w:szCs w:val="20"/>
                    <w:lang w:val="en-US"/>
                  </w:rPr>
                  <m:t>a</m:t>
                </m:r>
              </m:oMath>
            </m:oMathPara>
          </w:p>
        </w:tc>
        <w:tc>
          <w:tcPr>
            <w:tcW w:w="1448" w:type="dxa"/>
            <w:hideMark/>
          </w:tcPr>
          <w:p w:rsidR="0090570D" w:rsidRPr="000D5B28" w:rsidRDefault="0090570D" w:rsidP="00F20315">
            <w:pPr>
              <w:pStyle w:val="Zv-bodyreport"/>
              <w:spacing w:line="235" w:lineRule="auto"/>
              <w:rPr>
                <w:rFonts w:ascii="Times New Roman" w:eastAsia="SFRM1440" w:hAnsi="Times New Roman" w:cs="Times New Roman"/>
                <w:sz w:val="20"/>
                <w:szCs w:val="20"/>
              </w:rPr>
            </w:pPr>
            <w:r w:rsidRPr="000D5B28">
              <w:rPr>
                <w:rFonts w:ascii="Times New Roman" w:eastAsia="SFRM1440" w:hAnsi="Times New Roman" w:cs="Times New Roman"/>
                <w:sz w:val="20"/>
                <w:szCs w:val="20"/>
                <w:lang w:val="en-US"/>
              </w:rPr>
              <w:t xml:space="preserve">13 </w:t>
            </w:r>
            <w:r w:rsidRPr="000D5B28">
              <w:rPr>
                <w:rFonts w:ascii="Times New Roman" w:eastAsia="SFRM1440" w:hAnsi="Times New Roman" w:cs="Times New Roman"/>
                <w:sz w:val="20"/>
                <w:szCs w:val="20"/>
              </w:rPr>
              <w:t>см</w:t>
            </w:r>
          </w:p>
        </w:tc>
      </w:tr>
      <w:tr w:rsidR="0090570D" w:rsidRPr="000D5B28" w:rsidTr="00A73944">
        <w:trPr>
          <w:cnfStyle w:val="000000100000"/>
          <w:trHeight w:val="217"/>
          <w:jc w:val="center"/>
        </w:trPr>
        <w:tc>
          <w:tcPr>
            <w:tcW w:w="4472" w:type="dxa"/>
            <w:hideMark/>
          </w:tcPr>
          <w:p w:rsidR="0090570D" w:rsidRPr="000D5B28" w:rsidRDefault="0090570D" w:rsidP="00F20315">
            <w:pPr>
              <w:pStyle w:val="Zv-bodyreport"/>
              <w:spacing w:line="235" w:lineRule="auto"/>
              <w:rPr>
                <w:rFonts w:ascii="Times New Roman" w:eastAsia="SFRM1440" w:hAnsi="Times New Roman" w:cs="Times New Roman"/>
                <w:sz w:val="20"/>
                <w:szCs w:val="20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SFRM1440" w:hAnsi="Cambria Math" w:cs="Times New Roman"/>
                    <w:sz w:val="20"/>
                    <w:szCs w:val="20"/>
                    <w:lang w:val="en-US"/>
                  </w:rPr>
                  <m:t>R</m:t>
                </m:r>
              </m:oMath>
            </m:oMathPara>
          </w:p>
        </w:tc>
        <w:tc>
          <w:tcPr>
            <w:tcW w:w="1448" w:type="dxa"/>
            <w:hideMark/>
          </w:tcPr>
          <w:p w:rsidR="0090570D" w:rsidRPr="000D5B28" w:rsidRDefault="0090570D" w:rsidP="00F20315">
            <w:pPr>
              <w:pStyle w:val="Zv-bodyreport"/>
              <w:spacing w:line="235" w:lineRule="auto"/>
              <w:rPr>
                <w:rFonts w:ascii="Times New Roman" w:eastAsia="SFRM1440" w:hAnsi="Times New Roman" w:cs="Times New Roman"/>
                <w:sz w:val="20"/>
                <w:szCs w:val="20"/>
              </w:rPr>
            </w:pPr>
            <w:r w:rsidRPr="000D5B28">
              <w:rPr>
                <w:rFonts w:ascii="Times New Roman" w:eastAsia="SFRM1440" w:hAnsi="Times New Roman" w:cs="Times New Roman"/>
                <w:sz w:val="20"/>
                <w:szCs w:val="20"/>
                <w:lang w:val="en-US"/>
              </w:rPr>
              <w:t>2</w:t>
            </w:r>
            <w:r w:rsidRPr="000D5B28">
              <w:rPr>
                <w:rFonts w:ascii="Times New Roman" w:eastAsia="SFRM1440" w:hAnsi="Times New Roman" w:cs="Times New Roman"/>
                <w:sz w:val="20"/>
                <w:szCs w:val="20"/>
              </w:rPr>
              <w:t>4 см</w:t>
            </w:r>
          </w:p>
        </w:tc>
      </w:tr>
      <w:tr w:rsidR="0090570D" w:rsidRPr="000D5B28" w:rsidTr="00A73944">
        <w:trPr>
          <w:trHeight w:val="224"/>
          <w:jc w:val="center"/>
        </w:trPr>
        <w:tc>
          <w:tcPr>
            <w:tcW w:w="4472" w:type="dxa"/>
            <w:hideMark/>
          </w:tcPr>
          <w:p w:rsidR="0090570D" w:rsidRPr="000D5B28" w:rsidRDefault="0006234B" w:rsidP="00F20315">
            <w:pPr>
              <w:pStyle w:val="Zv-bodyreport"/>
              <w:spacing w:line="235" w:lineRule="auto"/>
              <w:rPr>
                <w:rFonts w:ascii="Times New Roman" w:eastAsia="SFRM1440" w:hAnsi="Times New Roman" w:cs="Times New Roman"/>
                <w:sz w:val="20"/>
                <w:szCs w:val="20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eastAsia="SFRM1440" w:hAnsi="Cambria Math" w:cs="Times New Roman"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SFRM1440" w:hAnsi="Cambria Math" w:cs="Times New Roman"/>
                        <w:sz w:val="20"/>
                        <w:szCs w:val="20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eastAsia="SFRM1440" w:hAnsi="Cambria Math" w:cs="Times New Roman"/>
                        <w:sz w:val="20"/>
                        <w:szCs w:val="20"/>
                        <w:lang w:val="en-US"/>
                      </w:rPr>
                      <m:t>eff</m:t>
                    </m:r>
                  </m:sub>
                </m:sSub>
              </m:oMath>
            </m:oMathPara>
          </w:p>
        </w:tc>
        <w:tc>
          <w:tcPr>
            <w:tcW w:w="1448" w:type="dxa"/>
            <w:hideMark/>
          </w:tcPr>
          <w:p w:rsidR="0090570D" w:rsidRPr="000D5B28" w:rsidRDefault="0090570D" w:rsidP="00F20315">
            <w:pPr>
              <w:pStyle w:val="Zv-bodyreport"/>
              <w:spacing w:line="235" w:lineRule="auto"/>
              <w:rPr>
                <w:rFonts w:ascii="Times New Roman" w:eastAsia="SFRM1440" w:hAnsi="Times New Roman" w:cs="Times New Roman"/>
                <w:sz w:val="20"/>
                <w:szCs w:val="20"/>
              </w:rPr>
            </w:pPr>
            <w:r w:rsidRPr="000D5B28">
              <w:rPr>
                <w:rFonts w:ascii="Times New Roman" w:eastAsia="SFRM1440" w:hAnsi="Times New Roman" w:cs="Times New Roman"/>
                <w:sz w:val="20"/>
                <w:szCs w:val="20"/>
                <w:lang w:val="en-US"/>
              </w:rPr>
              <w:t>2.5</w:t>
            </w:r>
          </w:p>
        </w:tc>
      </w:tr>
      <w:tr w:rsidR="0090570D" w:rsidRPr="000D5B28" w:rsidTr="00A73944">
        <w:trPr>
          <w:cnfStyle w:val="000000100000"/>
          <w:trHeight w:val="217"/>
          <w:jc w:val="center"/>
        </w:trPr>
        <w:tc>
          <w:tcPr>
            <w:tcW w:w="4472" w:type="dxa"/>
            <w:hideMark/>
          </w:tcPr>
          <w:p w:rsidR="0090570D" w:rsidRPr="000D5B28" w:rsidRDefault="0090570D" w:rsidP="00F20315">
            <w:pPr>
              <w:pStyle w:val="Zv-bodyreport"/>
              <w:spacing w:line="235" w:lineRule="auto"/>
              <w:rPr>
                <w:rFonts w:ascii="Times New Roman" w:eastAsia="SFRM1440" w:hAnsi="Times New Roman" w:cs="Times New Roman"/>
                <w:sz w:val="20"/>
                <w:szCs w:val="20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SFRM1440" w:hAnsi="Cambria Math" w:cs="Times New Roman"/>
                    <w:sz w:val="20"/>
                    <w:szCs w:val="20"/>
                    <w:lang w:val="en-US"/>
                  </w:rPr>
                  <m:t>Density</m:t>
                </m:r>
                <m:r>
                  <m:rPr>
                    <m:sty m:val="p"/>
                  </m:rPr>
                  <w:rPr>
                    <w:rFonts w:ascii="Cambria Math" w:eastAsia="SFRM1440" w:hAnsi="Cambria Math" w:cs="Times New Roman"/>
                    <w:sz w:val="20"/>
                    <w:szCs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eastAsia="SFRM1440" w:hAnsi="Cambria Math" w:cs="Times New Roman"/>
                    <w:sz w:val="20"/>
                    <w:szCs w:val="20"/>
                    <w:lang w:val="en-US"/>
                  </w:rPr>
                  <m:t>, [</m:t>
                </m:r>
                <m:sSup>
                  <m:sSupPr>
                    <m:ctrlPr>
                      <w:rPr>
                        <w:rFonts w:ascii="Cambria Math" w:eastAsia="SFRM1440" w:hAnsi="Cambria Math" w:cs="Times New Roman"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FRM1440" w:hAnsi="Cambria Math" w:cs="Times New Roman"/>
                        <w:sz w:val="20"/>
                        <w:szCs w:val="20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FRM1440" w:hAnsi="Cambria Math" w:cs="Times New Roman"/>
                        <w:sz w:val="20"/>
                        <w:szCs w:val="20"/>
                        <w:lang w:val="en-US"/>
                      </w:rPr>
                      <m:t>13</m:t>
                    </m:r>
                  </m:sup>
                </m:sSup>
                <m:r>
                  <w:rPr>
                    <w:rFonts w:ascii="Cambria Math" w:eastAsia="SFRM1440" w:hAnsi="Cambria Math" w:cs="Times New Roman"/>
                    <w:sz w:val="20"/>
                    <w:szCs w:val="20"/>
                  </w:rPr>
                  <m:t>c</m:t>
                </m:r>
                <m:sSup>
                  <m:sSupPr>
                    <m:ctrlPr>
                      <w:rPr>
                        <w:rFonts w:ascii="Cambria Math" w:eastAsia="SFRM1440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SFRM1440" w:hAnsi="Cambria Math" w:cs="Times New Roman"/>
                        <w:sz w:val="20"/>
                        <w:szCs w:val="20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FRM1440" w:hAnsi="Cambria Math" w:cs="Times New Roman"/>
                        <w:sz w:val="20"/>
                        <w:szCs w:val="20"/>
                      </w:rPr>
                      <m:t>-3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FRM1440" w:hAnsi="Cambria Math" w:cs="Times New Roman"/>
                    <w:sz w:val="20"/>
                    <w:szCs w:val="20"/>
                    <w:lang w:val="en-US"/>
                  </w:rPr>
                  <m:t>]</m:t>
                </m:r>
              </m:oMath>
            </m:oMathPara>
          </w:p>
        </w:tc>
        <w:tc>
          <w:tcPr>
            <w:tcW w:w="1448" w:type="dxa"/>
            <w:hideMark/>
          </w:tcPr>
          <w:p w:rsidR="0090570D" w:rsidRPr="000D5B28" w:rsidRDefault="0090570D" w:rsidP="00F20315">
            <w:pPr>
              <w:pStyle w:val="Zv-bodyreport"/>
              <w:spacing w:line="235" w:lineRule="auto"/>
              <w:rPr>
                <w:rFonts w:ascii="Times New Roman" w:eastAsia="SFRM1440" w:hAnsi="Times New Roman" w:cs="Times New Roman"/>
                <w:sz w:val="20"/>
                <w:szCs w:val="20"/>
              </w:rPr>
            </w:pPr>
            <w:r w:rsidRPr="000D5B28">
              <w:rPr>
                <w:rFonts w:ascii="Times New Roman" w:eastAsia="SFRM1440" w:hAnsi="Times New Roman" w:cs="Times New Roman"/>
                <w:sz w:val="20"/>
                <w:szCs w:val="20"/>
                <w:lang w:val="en-US"/>
              </w:rPr>
              <w:t>1.3</w:t>
            </w:r>
          </w:p>
        </w:tc>
      </w:tr>
    </w:tbl>
    <w:p w:rsidR="0090570D" w:rsidRPr="000D5B28" w:rsidRDefault="0090570D" w:rsidP="00F20315">
      <w:pPr>
        <w:pStyle w:val="Zv-bodyreport"/>
        <w:spacing w:line="235" w:lineRule="auto"/>
      </w:pPr>
      <w:r w:rsidRPr="008802B0">
        <w:t>Кроме того, была исследована возможность получения вытянутой конфигурации плазмы. Показано, что при величине вытянутости</w:t>
      </w:r>
      <w:r w:rsidRPr="008802B0">
        <w:rPr>
          <w:i/>
          <w:iCs/>
        </w:rPr>
        <w:t xml:space="preserve"> κ ≤ </w:t>
      </w:r>
      <w:r w:rsidRPr="008802B0">
        <w:t xml:space="preserve">1.2 плазма остается в равновесном положении без использования обратных связей в течение всего времени разряда. При этом в случае добавления катушек пассивной стабилизации удавалось увеличить параметр </w:t>
      </w:r>
      <w:r w:rsidRPr="008802B0">
        <w:rPr>
          <w:i/>
          <w:iCs/>
        </w:rPr>
        <w:t xml:space="preserve">κ </w:t>
      </w:r>
      <w:r w:rsidRPr="008802B0">
        <w:rPr>
          <w:iCs/>
        </w:rPr>
        <w:t>до</w:t>
      </w:r>
      <w:r w:rsidRPr="008802B0">
        <w:rPr>
          <w:i/>
          <w:iCs/>
        </w:rPr>
        <w:t xml:space="preserve"> </w:t>
      </w:r>
      <w:r w:rsidRPr="008802B0">
        <w:t>1.6.</w:t>
      </w:r>
    </w:p>
    <w:p w:rsidR="0090570D" w:rsidRPr="000D5B28" w:rsidRDefault="0090570D" w:rsidP="00F20315">
      <w:pPr>
        <w:pStyle w:val="Zv-TitleReferences-ru"/>
        <w:spacing w:line="235" w:lineRule="auto"/>
      </w:pPr>
      <w:r w:rsidRPr="000D5B28">
        <w:t>Литература</w:t>
      </w:r>
    </w:p>
    <w:p w:rsidR="0090570D" w:rsidRPr="000D5B28" w:rsidRDefault="0090570D" w:rsidP="00F20315">
      <w:pPr>
        <w:pStyle w:val="Zv-References-ru"/>
        <w:numPr>
          <w:ilvl w:val="0"/>
          <w:numId w:val="1"/>
        </w:numPr>
        <w:tabs>
          <w:tab w:val="clear" w:pos="567"/>
        </w:tabs>
        <w:spacing w:line="235" w:lineRule="auto"/>
        <w:ind w:left="0" w:firstLine="0"/>
      </w:pPr>
      <w:bookmarkStart w:id="0" w:name="_Hlk118890488"/>
      <w:r w:rsidRPr="000D5B28">
        <w:rPr>
          <w:lang w:val="en-US"/>
        </w:rPr>
        <w:t xml:space="preserve">V.A. Kurnaev, </w:t>
      </w:r>
      <w:r w:rsidRPr="000D5B28">
        <w:rPr>
          <w:szCs w:val="24"/>
          <w:lang w:val="en-US"/>
        </w:rPr>
        <w:t>G.M. Vorobyov</w:t>
      </w:r>
      <w:r w:rsidRPr="000D5B28">
        <w:rPr>
          <w:lang w:val="en-US"/>
        </w:rPr>
        <w:t xml:space="preserve"> et al., Phys. At. </w:t>
      </w:r>
      <w:r w:rsidRPr="000D5B28">
        <w:t>Nucl. 82, 1329–1331 (2019)</w:t>
      </w:r>
    </w:p>
    <w:p w:rsidR="0090570D" w:rsidRPr="000D5B28" w:rsidRDefault="0090570D" w:rsidP="00F20315">
      <w:pPr>
        <w:pStyle w:val="Zv-References-ru"/>
        <w:numPr>
          <w:ilvl w:val="0"/>
          <w:numId w:val="1"/>
        </w:numPr>
        <w:tabs>
          <w:tab w:val="clear" w:pos="567"/>
        </w:tabs>
        <w:spacing w:line="235" w:lineRule="auto"/>
        <w:ind w:left="0" w:firstLine="0"/>
      </w:pPr>
      <w:r w:rsidRPr="000D5B28">
        <w:t>Д.Л. Уласевич, Р.Р. Хайрутдинов и др., ВАНТ сер. Термояд. синтез 45, 98-107 (2022)</w:t>
      </w:r>
    </w:p>
    <w:p w:rsidR="0090570D" w:rsidRPr="000D5B28" w:rsidRDefault="0090570D" w:rsidP="00F20315">
      <w:pPr>
        <w:pStyle w:val="Zv-References-ru"/>
        <w:numPr>
          <w:ilvl w:val="0"/>
          <w:numId w:val="1"/>
        </w:numPr>
        <w:tabs>
          <w:tab w:val="clear" w:pos="567"/>
        </w:tabs>
        <w:spacing w:line="235" w:lineRule="auto"/>
        <w:ind w:left="0" w:firstLine="0"/>
        <w:rPr>
          <w:lang w:val="en-US"/>
        </w:rPr>
      </w:pPr>
      <w:r w:rsidRPr="000D5B28">
        <w:rPr>
          <w:lang w:val="en-US"/>
        </w:rPr>
        <w:t xml:space="preserve"> Khayrutdinov R.R., Lukash V.E. — J. Comput. Physics, vol. 109, 193-201 (1993)</w:t>
      </w:r>
      <w:bookmarkEnd w:id="0"/>
    </w:p>
    <w:sectPr w:rsidR="0090570D" w:rsidRPr="000D5B28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D7E" w:rsidRDefault="00196D7E">
      <w:r>
        <w:separator/>
      </w:r>
    </w:p>
  </w:endnote>
  <w:endnote w:type="continuationSeparator" w:id="0">
    <w:p w:rsidR="00196D7E" w:rsidRDefault="00196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FRM144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623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CD4475" w:rsidRDefault="00CD4475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75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D7E" w:rsidRDefault="00196D7E">
      <w:r>
        <w:separator/>
      </w:r>
    </w:p>
  </w:footnote>
  <w:footnote w:type="continuationSeparator" w:id="0">
    <w:p w:rsidR="00196D7E" w:rsidRDefault="00196D7E">
      <w:r>
        <w:continuationSeparator/>
      </w:r>
    </w:p>
  </w:footnote>
  <w:footnote w:id="1">
    <w:p w:rsidR="00F20315" w:rsidRPr="00F20315" w:rsidRDefault="00F20315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F20315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F20315">
      <w:rPr>
        <w:sz w:val="20"/>
      </w:rPr>
      <w:t>20</w:t>
    </w:r>
    <w:r w:rsidR="00C62CFE">
      <w:rPr>
        <w:sz w:val="20"/>
      </w:rPr>
      <w:t xml:space="preserve"> – </w:t>
    </w:r>
    <w:r w:rsidR="00700C3A" w:rsidRPr="00F20315">
      <w:rPr>
        <w:sz w:val="20"/>
      </w:rPr>
      <w:t>2</w:t>
    </w:r>
    <w:r w:rsidR="00577A8A" w:rsidRPr="00F20315">
      <w:rPr>
        <w:sz w:val="20"/>
      </w:rPr>
      <w:t>4</w:t>
    </w:r>
    <w:r w:rsidR="00C62CFE">
      <w:rPr>
        <w:sz w:val="20"/>
      </w:rPr>
      <w:t xml:space="preserve"> марта 20</w:t>
    </w:r>
    <w:r w:rsidR="00C62CFE" w:rsidRPr="00F20315">
      <w:rPr>
        <w:sz w:val="20"/>
      </w:rPr>
      <w:t>2</w:t>
    </w:r>
    <w:r w:rsidR="00700C3A" w:rsidRPr="00F20315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06234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6D7E"/>
    <w:rsid w:val="00037DCC"/>
    <w:rsid w:val="00040C34"/>
    <w:rsid w:val="00043701"/>
    <w:rsid w:val="0006234B"/>
    <w:rsid w:val="000C7078"/>
    <w:rsid w:val="000D76E9"/>
    <w:rsid w:val="000E495B"/>
    <w:rsid w:val="00140645"/>
    <w:rsid w:val="00171964"/>
    <w:rsid w:val="00196D7E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0570D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D4475"/>
    <w:rsid w:val="00CE0E75"/>
    <w:rsid w:val="00D47F19"/>
    <w:rsid w:val="00DA4715"/>
    <w:rsid w:val="00DE16AD"/>
    <w:rsid w:val="00DF1C1D"/>
    <w:rsid w:val="00DF6D4D"/>
    <w:rsid w:val="00E1331D"/>
    <w:rsid w:val="00E548AE"/>
    <w:rsid w:val="00E7021A"/>
    <w:rsid w:val="00E87733"/>
    <w:rsid w:val="00F20315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70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table" w:customStyle="1" w:styleId="21">
    <w:name w:val="Таблица простая 21"/>
    <w:basedOn w:val="a1"/>
    <w:uiPriority w:val="42"/>
    <w:rsid w:val="0090570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Zv-bodyreportChar">
    <w:name w:val="Zv-body_report Char"/>
    <w:link w:val="Zv-bodyreport"/>
    <w:locked/>
    <w:rsid w:val="0090570D"/>
    <w:rPr>
      <w:sz w:val="24"/>
      <w:szCs w:val="24"/>
    </w:rPr>
  </w:style>
  <w:style w:type="paragraph" w:styleId="a7">
    <w:name w:val="footnote text"/>
    <w:basedOn w:val="a"/>
    <w:link w:val="a8"/>
    <w:rsid w:val="00F2031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F20315"/>
  </w:style>
  <w:style w:type="character" w:styleId="a9">
    <w:name w:val="footnote reference"/>
    <w:basedOn w:val="a0"/>
    <w:rsid w:val="00F20315"/>
    <w:rPr>
      <w:vertAlign w:val="superscript"/>
    </w:rPr>
  </w:style>
  <w:style w:type="character" w:styleId="aa">
    <w:name w:val="Hyperlink"/>
    <w:basedOn w:val="a0"/>
    <w:rsid w:val="00F203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AQ-Ulasevich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E722A-13BA-41EB-BD2A-889E4BF6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414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ПОЛОИДАЛЬНОЙ МАГНИТНОЙ СИСТЕМЫ ТОКАМАКА МИФИСТ-0</dc:title>
  <dc:creator/>
  <cp:lastModifiedBy>Сатунин</cp:lastModifiedBy>
  <cp:revision>3</cp:revision>
  <cp:lastPrinted>1601-01-01T00:00:00Z</cp:lastPrinted>
  <dcterms:created xsi:type="dcterms:W3CDTF">2023-02-09T21:22:00Z</dcterms:created>
  <dcterms:modified xsi:type="dcterms:W3CDTF">2023-05-15T10:16:00Z</dcterms:modified>
</cp:coreProperties>
</file>