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A4" w:rsidRDefault="00DD4AC6" w:rsidP="00627BA4">
      <w:pPr>
        <w:pStyle w:val="Zv-Titlereport"/>
        <w:rPr>
          <w:lang w:val="en-US"/>
        </w:rPr>
      </w:pPr>
      <w:r w:rsidRPr="00DD4AC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9">
              <w:txbxContent>
                <w:p w:rsidR="00DD4AC6" w:rsidRPr="00824DF5" w:rsidRDefault="00DD4AC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DD4AC6">
                    <w:rPr>
                      <w:sz w:val="22"/>
                      <w:szCs w:val="22"/>
                    </w:rPr>
                    <w:t>10.34854/ICPAF.2023.50.2023.1.1.084</w:t>
                  </w:r>
                </w:p>
              </w:txbxContent>
            </v:textbox>
            <w10:anchorlock/>
          </v:shape>
        </w:pict>
      </w:r>
      <w:r w:rsidR="00627BA4">
        <w:rPr>
          <w:lang w:val="en-US"/>
        </w:rPr>
        <w:t>2d distribution of electric potential in the t-10 tokamak ohmic plasmas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627BA4" w:rsidRDefault="00627BA4" w:rsidP="00627BA4">
      <w:pPr>
        <w:pStyle w:val="Zv-Author"/>
        <w:rPr>
          <w:lang w:val="en-US"/>
        </w:rPr>
      </w:pPr>
      <w:r w:rsidRPr="00C65FEC">
        <w:rPr>
          <w:vertAlign w:val="superscript"/>
          <w:lang w:val="en-US"/>
        </w:rPr>
        <w:t>1,2</w:t>
      </w:r>
      <w:r>
        <w:rPr>
          <w:lang w:val="en-US"/>
        </w:rPr>
        <w:t xml:space="preserve">Ammosov Y.M., </w:t>
      </w:r>
      <w:r w:rsidRPr="00C65FEC">
        <w:rPr>
          <w:vertAlign w:val="superscript"/>
          <w:lang w:val="en-US"/>
        </w:rPr>
        <w:t>3</w:t>
      </w:r>
      <w:r>
        <w:rPr>
          <w:lang w:val="en-US"/>
        </w:rPr>
        <w:t xml:space="preserve">Khabanov P.O., </w:t>
      </w:r>
      <w:r w:rsidRPr="00C65FEC">
        <w:rPr>
          <w:vertAlign w:val="superscript"/>
          <w:lang w:val="en-US"/>
        </w:rPr>
        <w:t>1</w:t>
      </w:r>
      <w:r>
        <w:rPr>
          <w:lang w:val="en-US"/>
        </w:rPr>
        <w:t xml:space="preserve">Drabinskiy M.A., </w:t>
      </w:r>
      <w:r w:rsidRPr="00C65FEC">
        <w:rPr>
          <w:vertAlign w:val="superscript"/>
          <w:lang w:val="en-US"/>
        </w:rPr>
        <w:t>1,2,4</w:t>
      </w:r>
      <w:r>
        <w:rPr>
          <w:lang w:val="en-US"/>
        </w:rPr>
        <w:t xml:space="preserve">Melnikov A.V., </w:t>
      </w:r>
      <w:r w:rsidRPr="00C65FEC">
        <w:rPr>
          <w:vertAlign w:val="superscript"/>
          <w:lang w:val="en-US"/>
        </w:rPr>
        <w:t>1</w:t>
      </w:r>
      <w:r>
        <w:rPr>
          <w:lang w:val="en-US"/>
        </w:rPr>
        <w:t xml:space="preserve">Eliseev L.G., </w:t>
      </w:r>
      <w:r w:rsidRPr="00C65FEC">
        <w:rPr>
          <w:vertAlign w:val="superscript"/>
          <w:lang w:val="en-US"/>
        </w:rPr>
        <w:t>1,5</w:t>
      </w:r>
      <w:r>
        <w:rPr>
          <w:lang w:val="en-US"/>
        </w:rPr>
        <w:t xml:space="preserve">Kharchev N.K., </w:t>
      </w:r>
      <w:r w:rsidRPr="00C65FEC">
        <w:rPr>
          <w:vertAlign w:val="superscript"/>
          <w:lang w:val="en-US"/>
        </w:rPr>
        <w:t>1</w:t>
      </w:r>
      <w:r>
        <w:rPr>
          <w:lang w:val="en-US"/>
        </w:rPr>
        <w:t>Lysenko S.E.</w:t>
      </w:r>
    </w:p>
    <w:p w:rsidR="00627BA4" w:rsidRDefault="00627BA4" w:rsidP="00627BA4">
      <w:pPr>
        <w:pStyle w:val="Zv-Organization"/>
        <w:rPr>
          <w:lang w:val="en-US"/>
        </w:rPr>
      </w:pPr>
      <w:r w:rsidRPr="00B13F1C">
        <w:rPr>
          <w:vertAlign w:val="superscript"/>
          <w:lang w:val="en-US"/>
        </w:rPr>
        <w:t>1</w:t>
      </w:r>
      <w:r w:rsidRPr="00B13F1C">
        <w:rPr>
          <w:lang w:val="en-US"/>
        </w:rPr>
        <w:t>NRC “</w:t>
      </w:r>
      <w:r w:rsidRPr="00627BA4">
        <w:rPr>
          <w:lang w:val="en-US"/>
        </w:rPr>
        <w:t>Kurchatov</w:t>
      </w:r>
      <w:r w:rsidRPr="00B13F1C">
        <w:rPr>
          <w:lang w:val="en-US"/>
        </w:rPr>
        <w:t xml:space="preserve"> Institute”, </w:t>
      </w:r>
      <w:hyperlink r:id="rId8" w:history="1">
        <w:r w:rsidRPr="004A38BC">
          <w:rPr>
            <w:rStyle w:val="a7"/>
            <w:lang w:val="en-US"/>
          </w:rPr>
          <w:t>nrcki</w:t>
        </w:r>
        <w:r w:rsidRPr="00627BA4">
          <w:rPr>
            <w:rStyle w:val="a7"/>
            <w:lang w:val="en-US"/>
          </w:rPr>
          <w:t>@nrcki.ru</w:t>
        </w:r>
      </w:hyperlink>
      <w:r>
        <w:rPr>
          <w:lang w:val="en-US"/>
        </w:rPr>
        <w:br/>
      </w:r>
      <w:r w:rsidRPr="00627BA4">
        <w:rPr>
          <w:vertAlign w:val="superscript"/>
          <w:lang w:val="en-US"/>
        </w:rPr>
        <w:t>2</w:t>
      </w:r>
      <w:r w:rsidRPr="00627BA4">
        <w:rPr>
          <w:lang w:val="en-US"/>
        </w:rPr>
        <w:t xml:space="preserve">Moscow Institute of Physics and Technology (NRU), </w:t>
      </w:r>
      <w:hyperlink r:id="rId9" w:history="1">
        <w:r w:rsidRPr="00627BA4">
          <w:rPr>
            <w:rStyle w:val="a7"/>
            <w:lang w:val="en-US"/>
          </w:rPr>
          <w:t>info@mipt.ru</w:t>
        </w:r>
      </w:hyperlink>
      <w:r>
        <w:rPr>
          <w:lang w:val="en-US"/>
        </w:rPr>
        <w:br/>
      </w:r>
      <w:r w:rsidRPr="00B13F1C">
        <w:rPr>
          <w:vertAlign w:val="superscript"/>
          <w:lang w:val="en-US"/>
        </w:rPr>
        <w:t>3</w:t>
      </w:r>
      <w:r w:rsidRPr="00B13F1C">
        <w:rPr>
          <w:lang w:val="en-US"/>
        </w:rPr>
        <w:t xml:space="preserve">University of Wisconsin-Madison, </w:t>
      </w:r>
      <w:hyperlink r:id="rId10" w:history="1">
        <w:r w:rsidRPr="004A38BC">
          <w:rPr>
            <w:rStyle w:val="a7"/>
            <w:lang w:val="en-US"/>
          </w:rPr>
          <w:t>onwisconsin@admissions.wisc.edu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4</w:t>
      </w:r>
      <w:r w:rsidRPr="00B13F1C">
        <w:rPr>
          <w:lang w:val="en-US"/>
        </w:rPr>
        <w:t xml:space="preserve">National Research Nuclear University “MEPhI”, </w:t>
      </w:r>
      <w:hyperlink r:id="rId11" w:history="1">
        <w:r w:rsidRPr="004A38BC">
          <w:rPr>
            <w:rStyle w:val="a7"/>
            <w:lang w:val="en-US"/>
          </w:rPr>
          <w:t>info@mephi.ru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5</w:t>
      </w:r>
      <w:r w:rsidRPr="00B13F1C">
        <w:rPr>
          <w:lang w:val="en-US"/>
        </w:rPr>
        <w:t xml:space="preserve">Prokhorov </w:t>
      </w:r>
      <w:r w:rsidRPr="00627BA4">
        <w:rPr>
          <w:lang w:val="en-US"/>
        </w:rPr>
        <w:t>General</w:t>
      </w:r>
      <w:r w:rsidRPr="00B13F1C">
        <w:rPr>
          <w:lang w:val="en-US"/>
        </w:rPr>
        <w:t xml:space="preserve"> Physics Institute, </w:t>
      </w:r>
      <w:hyperlink r:id="rId12" w:history="1">
        <w:r w:rsidRPr="00627BA4">
          <w:rPr>
            <w:rStyle w:val="a7"/>
            <w:lang w:val="en-US"/>
          </w:rPr>
          <w:t>office@gpi.ru</w:t>
        </w:r>
      </w:hyperlink>
    </w:p>
    <w:p w:rsidR="00627BA4" w:rsidRDefault="00627BA4" w:rsidP="00627BA4">
      <w:pPr>
        <w:pStyle w:val="Zv-bodyreport"/>
        <w:rPr>
          <w:lang w:val="en-US"/>
        </w:rPr>
      </w:pPr>
      <w:r w:rsidRPr="00EF0B90">
        <w:rPr>
          <w:lang w:val="en-US"/>
        </w:rPr>
        <w:t>The study of</w:t>
      </w:r>
      <w:r>
        <w:rPr>
          <w:lang w:val="en-US"/>
        </w:rPr>
        <w:t xml:space="preserve"> </w:t>
      </w:r>
      <w:r w:rsidRPr="00EF0B90">
        <w:rPr>
          <w:lang w:val="en-US"/>
        </w:rPr>
        <w:t xml:space="preserve">heat and particle transport mechanisms in plasmas of toroidal devices is </w:t>
      </w:r>
      <w:r>
        <w:rPr>
          <w:lang w:val="en-US"/>
        </w:rPr>
        <w:t>one of the</w:t>
      </w:r>
      <w:r w:rsidRPr="00EF0B90">
        <w:rPr>
          <w:lang w:val="en-US"/>
        </w:rPr>
        <w:t xml:space="preserve"> key issue</w:t>
      </w:r>
      <w:r>
        <w:rPr>
          <w:lang w:val="en-US"/>
        </w:rPr>
        <w:t>s</w:t>
      </w:r>
      <w:r w:rsidRPr="00EF0B90">
        <w:rPr>
          <w:lang w:val="en-US"/>
        </w:rPr>
        <w:t xml:space="preserve"> in hot plasma physics. One of the transport regulation mechanisms are ExB shear flows induced by the radial electric field, </w:t>
      </w:r>
      <w:r>
        <w:rPr>
          <w:lang w:val="en-US"/>
        </w:rPr>
        <w:t>thus</w:t>
      </w:r>
      <w:r w:rsidRPr="00EF0B90">
        <w:rPr>
          <w:lang w:val="en-US"/>
        </w:rPr>
        <w:t xml:space="preserve"> the experimental study of the spatial distributions of the electric potential is an important problem.</w:t>
      </w:r>
    </w:p>
    <w:p w:rsidR="00627BA4" w:rsidRPr="00EF0B90" w:rsidRDefault="00D62AB1" w:rsidP="00627BA4">
      <w:pPr>
        <w:pStyle w:val="Zv-bodyreport"/>
        <w:rPr>
          <w:noProof/>
          <w:lang w:val="en-US"/>
        </w:rPr>
      </w:pPr>
      <w:r>
        <w:rPr>
          <w:noProof/>
        </w:rPr>
        <w:pict>
          <v:shape id="_x0000_s1027" type="#_x0000_t202" style="position:absolute;left:0;text-align:left;margin-left:.2pt;margin-top:3.95pt;width:225.7pt;height:264.3pt;z-index:-251658752;mso-width-relative:margin;mso-height-relative:margin" wrapcoords="-72 0 -72 21539 21600 21539 21600 0 -72 0" stroked="f">
            <v:textbox>
              <w:txbxContent>
                <w:p w:rsidR="00627BA4" w:rsidRDefault="00627BA4" w:rsidP="00627BA4">
                  <w:pPr>
                    <w:rPr>
                      <w:lang w:val="en-US"/>
                    </w:rPr>
                  </w:pPr>
                  <w:r w:rsidRPr="0088235B">
                    <w:rPr>
                      <w:noProof/>
                    </w:rPr>
                    <w:drawing>
                      <wp:inline distT="0" distB="0" distL="0" distR="0">
                        <wp:extent cx="2609850" cy="2524125"/>
                        <wp:effectExtent l="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Рисунок 1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l="205" r="2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2390" cy="25234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27BA4" w:rsidRPr="00AF13E7" w:rsidRDefault="00627BA4" w:rsidP="00627BA4">
                  <w:pPr>
                    <w:pStyle w:val="a8"/>
                    <w:spacing w:before="120" w:after="0"/>
                    <w:rPr>
                      <w:noProof/>
                      <w:color w:val="auto"/>
                      <w:sz w:val="32"/>
                      <w:szCs w:val="32"/>
                      <w:lang w:val="en-US"/>
                    </w:rPr>
                  </w:pP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 xml:space="preserve">Fig. </w:t>
                  </w:r>
                  <w:r w:rsidR="00D62AB1" w:rsidRPr="00001F3A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instrText xml:space="preserve"> SEQ Fig. \* ARABIC </w:instrText>
                  </w:r>
                  <w:r w:rsidR="00D62AB1" w:rsidRPr="00001F3A"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auto"/>
                      <w:sz w:val="22"/>
                      <w:szCs w:val="22"/>
                      <w:lang w:val="en-US"/>
                    </w:rPr>
                    <w:t>1</w:t>
                  </w:r>
                  <w:r w:rsidR="00D62AB1" w:rsidRPr="00001F3A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 xml:space="preserve"> Measurement region of the electric potential. Detector lines of equal energy 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 xml:space="preserve">for cesium ions in the </w:t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>Eb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>=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> </w:t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>180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noBreakHyphen/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 xml:space="preserve">330 keV </w:t>
                  </w:r>
                  <w:r>
                    <w:rPr>
                      <w:color w:val="auto"/>
                      <w:sz w:val="22"/>
                      <w:szCs w:val="22"/>
                      <w:lang w:val="en-US"/>
                    </w:rPr>
                    <w:t xml:space="preserve">range </w:t>
                  </w:r>
                  <w:r w:rsidRPr="00001F3A">
                    <w:rPr>
                      <w:color w:val="auto"/>
                      <w:sz w:val="22"/>
                      <w:szCs w:val="22"/>
                      <w:lang w:val="en-US"/>
                    </w:rPr>
                    <w:t>are shown.</w:t>
                  </w:r>
                </w:p>
              </w:txbxContent>
            </v:textbox>
            <w10:wrap type="tight"/>
            <w10:anchorlock/>
          </v:shape>
        </w:pict>
      </w:r>
      <w:r w:rsidR="00627BA4" w:rsidRPr="00EF0B90">
        <w:rPr>
          <w:noProof/>
          <w:lang w:val="en-US"/>
        </w:rPr>
        <w:t>The first attempts to measure 2D distributions of the plasma potential by heavy ion beam probe (HIBP) were made in an ECR</w:t>
      </w:r>
      <w:r w:rsidR="00627BA4">
        <w:rPr>
          <w:noProof/>
          <w:lang w:val="en-US"/>
        </w:rPr>
        <w:t>H</w:t>
      </w:r>
      <w:r w:rsidR="00627BA4" w:rsidRPr="00EF0B90">
        <w:rPr>
          <w:noProof/>
          <w:lang w:val="en-US"/>
        </w:rPr>
        <w:t xml:space="preserve"> plasma</w:t>
      </w:r>
      <w:r w:rsidR="00627BA4">
        <w:rPr>
          <w:noProof/>
          <w:lang w:val="en-US"/>
        </w:rPr>
        <w:t>s</w:t>
      </w:r>
      <w:r w:rsidR="00627BA4" w:rsidRPr="00EF0B90">
        <w:rPr>
          <w:noProof/>
          <w:lang w:val="en-US"/>
        </w:rPr>
        <w:t xml:space="preserve"> at the</w:t>
      </w:r>
      <w:r w:rsidR="00627BA4">
        <w:rPr>
          <w:noProof/>
          <w:lang w:val="en-US"/>
        </w:rPr>
        <w:t xml:space="preserve"> </w:t>
      </w:r>
      <w:r w:rsidR="00627BA4" w:rsidRPr="00EF0B90">
        <w:rPr>
          <w:noProof/>
          <w:lang w:val="en-US"/>
        </w:rPr>
        <w:t>LHD (Japan) [</w:t>
      </w:r>
      <w:r w:rsidR="00627BA4">
        <w:rPr>
          <w:noProof/>
          <w:lang w:val="en-US"/>
        </w:rPr>
        <w:t>1, 2</w:t>
      </w:r>
      <w:r w:rsidR="00627BA4" w:rsidRPr="00EF0B90">
        <w:rPr>
          <w:noProof/>
          <w:lang w:val="en-US"/>
        </w:rPr>
        <w:t>]</w:t>
      </w:r>
      <w:r w:rsidR="00627BA4">
        <w:rPr>
          <w:noProof/>
          <w:lang w:val="en-US"/>
        </w:rPr>
        <w:t xml:space="preserve"> and </w:t>
      </w:r>
      <w:r w:rsidR="00627BA4" w:rsidRPr="00EF0B90">
        <w:rPr>
          <w:noProof/>
          <w:lang w:val="en-US"/>
        </w:rPr>
        <w:t>TJ</w:t>
      </w:r>
      <w:r w:rsidR="00627BA4">
        <w:rPr>
          <w:noProof/>
          <w:lang w:val="en-US"/>
        </w:rPr>
        <w:noBreakHyphen/>
      </w:r>
      <w:r w:rsidR="00627BA4" w:rsidRPr="00EF0B90">
        <w:rPr>
          <w:noProof/>
          <w:lang w:val="en-US"/>
        </w:rPr>
        <w:t>II (Spain) [</w:t>
      </w:r>
      <w:r w:rsidR="00627BA4">
        <w:rPr>
          <w:noProof/>
          <w:lang w:val="en-US"/>
        </w:rPr>
        <w:t>3</w:t>
      </w:r>
      <w:r w:rsidR="00627BA4" w:rsidRPr="00EF0B90">
        <w:rPr>
          <w:noProof/>
          <w:lang w:val="en-US"/>
        </w:rPr>
        <w:t>] stellarators. Then, detailed 2D</w:t>
      </w:r>
      <w:r w:rsidR="00627BA4">
        <w:rPr>
          <w:noProof/>
          <w:lang w:val="en-US"/>
        </w:rPr>
        <w:t> </w:t>
      </w:r>
      <w:r w:rsidR="00627BA4" w:rsidRPr="00EF0B90">
        <w:rPr>
          <w:noProof/>
          <w:lang w:val="en-US"/>
        </w:rPr>
        <w:t>distributions of the potential and its oscillations were measured on the TJ</w:t>
      </w:r>
      <w:r w:rsidR="00627BA4">
        <w:rPr>
          <w:noProof/>
          <w:lang w:val="en-US"/>
        </w:rPr>
        <w:noBreakHyphen/>
      </w:r>
      <w:r w:rsidR="00627BA4" w:rsidRPr="00EF0B90">
        <w:rPr>
          <w:noProof/>
          <w:lang w:val="en-US"/>
        </w:rPr>
        <w:t>II in the regimes with ECRH and NBI, which have shown that the equipotential lines are consistent with the vacuum magnetic flux surfaces of the device [</w:t>
      </w:r>
      <w:r w:rsidR="00627BA4">
        <w:rPr>
          <w:noProof/>
          <w:lang w:val="en-US"/>
        </w:rPr>
        <w:t>4</w:t>
      </w:r>
      <w:r w:rsidR="00627BA4" w:rsidRPr="00EF0B90">
        <w:rPr>
          <w:noProof/>
          <w:lang w:val="en-US"/>
        </w:rPr>
        <w:t>].</w:t>
      </w:r>
    </w:p>
    <w:p w:rsidR="00627BA4" w:rsidRPr="00845AAB" w:rsidRDefault="00627BA4" w:rsidP="00627BA4">
      <w:pPr>
        <w:pStyle w:val="Zv-bodyreport"/>
        <w:rPr>
          <w:lang w:val="en-US"/>
        </w:rPr>
      </w:pPr>
      <w:r>
        <w:rPr>
          <w:lang w:val="en-US"/>
        </w:rPr>
        <w:t>T</w:t>
      </w:r>
      <w:r>
        <w:rPr>
          <w:lang w:val="en-US"/>
        </w:rPr>
        <w:noBreakHyphen/>
      </w:r>
      <w:r w:rsidRPr="00FC3871">
        <w:rPr>
          <w:lang w:val="en-US"/>
        </w:rPr>
        <w:t>10</w:t>
      </w:r>
      <w:r>
        <w:rPr>
          <w:lang w:val="en-US"/>
        </w:rPr>
        <w:t xml:space="preserve"> Tokamak</w:t>
      </w:r>
      <w:r w:rsidRPr="00FC3871">
        <w:rPr>
          <w:lang w:val="en-US"/>
        </w:rPr>
        <w:t xml:space="preserve"> (</w:t>
      </w:r>
      <w:r w:rsidRPr="00FC3871">
        <w:rPr>
          <w:i/>
          <w:iCs/>
          <w:lang w:val="en-US"/>
        </w:rPr>
        <w:t>R</w:t>
      </w:r>
      <w:r>
        <w:rPr>
          <w:lang w:val="en-US"/>
        </w:rPr>
        <w:t> </w:t>
      </w:r>
      <w:r w:rsidRPr="00FC3871">
        <w:rPr>
          <w:lang w:val="en-US"/>
        </w:rPr>
        <w:t>=</w:t>
      </w:r>
      <w:r>
        <w:rPr>
          <w:lang w:val="en-US"/>
        </w:rPr>
        <w:t> </w:t>
      </w:r>
      <w:r w:rsidRPr="00FC3871">
        <w:rPr>
          <w:lang w:val="en-US"/>
        </w:rPr>
        <w:t>1.5</w:t>
      </w:r>
      <w:r>
        <w:rPr>
          <w:lang w:val="en-US"/>
        </w:rPr>
        <w:t> m</w:t>
      </w:r>
      <w:r w:rsidRPr="00FC3871">
        <w:rPr>
          <w:lang w:val="en-US"/>
        </w:rPr>
        <w:t xml:space="preserve">, </w:t>
      </w:r>
      <w:r w:rsidRPr="00FC3871">
        <w:rPr>
          <w:i/>
          <w:iCs/>
          <w:lang w:val="en-US"/>
        </w:rPr>
        <w:t>a</w:t>
      </w:r>
      <w:r>
        <w:rPr>
          <w:lang w:val="en-US"/>
        </w:rPr>
        <w:t> </w:t>
      </w:r>
      <w:r w:rsidRPr="00FC3871">
        <w:rPr>
          <w:lang w:val="en-US"/>
        </w:rPr>
        <w:t>=</w:t>
      </w:r>
      <w:r>
        <w:rPr>
          <w:lang w:val="en-US"/>
        </w:rPr>
        <w:t> </w:t>
      </w:r>
      <w:r w:rsidRPr="00FC3871">
        <w:rPr>
          <w:lang w:val="en-US"/>
        </w:rPr>
        <w:t>0.3</w:t>
      </w:r>
      <w:r>
        <w:rPr>
          <w:lang w:val="en-US"/>
        </w:rPr>
        <w:t> m</w:t>
      </w:r>
      <w:r w:rsidRPr="00FC3871">
        <w:rPr>
          <w:lang w:val="en-US"/>
        </w:rPr>
        <w:t xml:space="preserve">, </w:t>
      </w:r>
      <w:r w:rsidRPr="00FC3871">
        <w:rPr>
          <w:i/>
          <w:iCs/>
          <w:lang w:val="en-US"/>
        </w:rPr>
        <w:t>B</w:t>
      </w:r>
      <w:r w:rsidRPr="00FC3871">
        <w:rPr>
          <w:i/>
          <w:iCs/>
          <w:vertAlign w:val="subscript"/>
          <w:lang w:val="en-US"/>
        </w:rPr>
        <w:t>t</w:t>
      </w:r>
      <w:r>
        <w:rPr>
          <w:lang w:val="en-US"/>
        </w:rPr>
        <w:t> </w:t>
      </w:r>
      <w:r w:rsidRPr="00FC3871">
        <w:rPr>
          <w:lang w:val="en-US"/>
        </w:rPr>
        <w:t>≤</w:t>
      </w:r>
      <w:r>
        <w:rPr>
          <w:lang w:val="en-US"/>
        </w:rPr>
        <w:t> </w:t>
      </w:r>
      <w:r w:rsidRPr="00FC3871">
        <w:rPr>
          <w:lang w:val="en-US"/>
        </w:rPr>
        <w:t>2.5</w:t>
      </w:r>
      <w:r>
        <w:rPr>
          <w:lang w:val="en-US"/>
        </w:rPr>
        <w:t> T</w:t>
      </w:r>
      <w:r w:rsidRPr="00FC3871">
        <w:rPr>
          <w:lang w:val="en-US"/>
        </w:rPr>
        <w:t xml:space="preserve">, </w:t>
      </w:r>
      <w:r w:rsidRPr="00FC3871">
        <w:rPr>
          <w:i/>
          <w:iCs/>
          <w:lang w:val="en-US"/>
        </w:rPr>
        <w:t>I</w:t>
      </w:r>
      <w:r w:rsidRPr="00FC3871">
        <w:rPr>
          <w:i/>
          <w:iCs/>
          <w:vertAlign w:val="subscript"/>
          <w:lang w:val="en-US"/>
        </w:rPr>
        <w:t>pl</w:t>
      </w:r>
      <w:r>
        <w:rPr>
          <w:lang w:val="en-US"/>
        </w:rPr>
        <w:t> </w:t>
      </w:r>
      <w:r w:rsidRPr="00FC3871">
        <w:rPr>
          <w:lang w:val="en-US"/>
        </w:rPr>
        <w:t>≤</w:t>
      </w:r>
      <w:r>
        <w:rPr>
          <w:lang w:val="en-US"/>
        </w:rPr>
        <w:t> </w:t>
      </w:r>
      <w:r w:rsidRPr="00FC3871">
        <w:rPr>
          <w:lang w:val="en-US"/>
        </w:rPr>
        <w:t>300</w:t>
      </w:r>
      <w:r>
        <w:rPr>
          <w:lang w:val="en-US"/>
        </w:rPr>
        <w:t> kA</w:t>
      </w:r>
      <w:r w:rsidRPr="00FC3871">
        <w:rPr>
          <w:lang w:val="en-US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</m:oMath>
      <w:r>
        <w:rPr>
          <w:lang w:val="en-US"/>
        </w:rPr>
        <w:t> </w:t>
      </w:r>
      <w:r w:rsidRPr="00FC3871">
        <w:rPr>
          <w:lang w:val="en-US"/>
        </w:rPr>
        <w:t>≤</w:t>
      </w:r>
      <w:r>
        <w:rPr>
          <w:lang w:val="en-US"/>
        </w:rPr>
        <w:t> </w:t>
      </w:r>
      <w:r w:rsidRPr="00FC3871">
        <w:rPr>
          <w:lang w:val="en-US"/>
        </w:rPr>
        <w:t>6ꞏ10</w:t>
      </w:r>
      <w:r w:rsidRPr="00FC3871">
        <w:rPr>
          <w:vertAlign w:val="superscript"/>
          <w:lang w:val="en-US"/>
        </w:rPr>
        <w:t>19</w:t>
      </w:r>
      <w:r>
        <w:rPr>
          <w:lang w:val="en-US"/>
        </w:rPr>
        <w:t> m</w:t>
      </w:r>
      <w:r w:rsidRPr="00FC3871">
        <w:rPr>
          <w:vertAlign w:val="superscript"/>
          <w:lang w:val="en-US"/>
        </w:rPr>
        <w:t>-3</w:t>
      </w:r>
      <w:r w:rsidRPr="00FC3871">
        <w:rPr>
          <w:lang w:val="en-US"/>
        </w:rPr>
        <w:t>)</w:t>
      </w:r>
      <w:r w:rsidRPr="009A00B9">
        <w:rPr>
          <w:lang w:val="en-US"/>
        </w:rPr>
        <w:t xml:space="preserve"> is equipped with </w:t>
      </w:r>
      <w:r>
        <w:rPr>
          <w:lang w:val="en-US"/>
        </w:rPr>
        <w:t>the</w:t>
      </w:r>
      <w:r w:rsidRPr="009A00B9">
        <w:rPr>
          <w:lang w:val="en-US"/>
        </w:rPr>
        <w:t xml:space="preserve"> HI</w:t>
      </w:r>
      <w:r>
        <w:rPr>
          <w:lang w:val="en-US"/>
        </w:rPr>
        <w:t>B</w:t>
      </w:r>
      <w:r w:rsidRPr="009A00B9">
        <w:rPr>
          <w:lang w:val="en-US"/>
        </w:rPr>
        <w:t xml:space="preserve">P </w:t>
      </w:r>
      <w:r>
        <w:rPr>
          <w:lang w:val="en-US"/>
        </w:rPr>
        <w:t xml:space="preserve">diagnostic </w:t>
      </w:r>
      <w:r w:rsidRPr="009A00B9">
        <w:rPr>
          <w:lang w:val="en-US"/>
        </w:rPr>
        <w:t>which allows to measure the electric potential and its fluctuations</w:t>
      </w:r>
      <w:r w:rsidRPr="00E17E45">
        <w:rPr>
          <w:lang w:val="en-US"/>
        </w:rPr>
        <w:t xml:space="preserve">, </w:t>
      </w:r>
      <w:r>
        <w:rPr>
          <w:lang w:val="en-US"/>
        </w:rPr>
        <w:t xml:space="preserve">as well as fluctuations of the density and magnetic potential </w:t>
      </w:r>
      <w:r w:rsidRPr="009A00B9">
        <w:rPr>
          <w:lang w:val="en-US"/>
        </w:rPr>
        <w:t>in the hot plasma region [</w:t>
      </w:r>
      <w:r>
        <w:rPr>
          <w:lang w:val="en-US"/>
        </w:rPr>
        <w:t>5</w:t>
      </w:r>
      <w:r w:rsidRPr="009A00B9">
        <w:rPr>
          <w:lang w:val="en-US"/>
        </w:rPr>
        <w:t>].</w:t>
      </w:r>
    </w:p>
    <w:p w:rsidR="00627BA4" w:rsidRPr="00C50827" w:rsidRDefault="00627BA4" w:rsidP="00627BA4">
      <w:pPr>
        <w:pStyle w:val="Zv-bodyreport"/>
        <w:rPr>
          <w:lang w:val="en-US"/>
        </w:rPr>
      </w:pPr>
      <w:r>
        <w:rPr>
          <w:lang w:val="en-US"/>
        </w:rPr>
        <w:t>2D</w:t>
      </w:r>
      <w:r w:rsidRPr="003A72B3">
        <w:rPr>
          <w:lang w:val="en-US"/>
        </w:rPr>
        <w:t xml:space="preserve"> distribution of </w:t>
      </w:r>
      <w:r>
        <w:rPr>
          <w:lang w:val="en-US"/>
        </w:rPr>
        <w:t xml:space="preserve">the </w:t>
      </w:r>
      <w:r w:rsidRPr="003A72B3">
        <w:rPr>
          <w:lang w:val="en-US"/>
        </w:rPr>
        <w:t xml:space="preserve">electric potential in an ohmic plasma with </w:t>
      </w:r>
      <w:r>
        <w:rPr>
          <w:lang w:val="en-US"/>
        </w:rPr>
        <w:t xml:space="preserve">the </w:t>
      </w:r>
      <w:r w:rsidRPr="003A72B3">
        <w:rPr>
          <w:lang w:val="en-US"/>
        </w:rPr>
        <w:t xml:space="preserve">magnetic field </w:t>
      </w:r>
      <w:r w:rsidRPr="003A72B3">
        <w:rPr>
          <w:i/>
          <w:iCs/>
          <w:lang w:val="en-US"/>
        </w:rPr>
        <w:t>B</w:t>
      </w:r>
      <w:r w:rsidRPr="003A72B3">
        <w:rPr>
          <w:i/>
          <w:iCs/>
          <w:vertAlign w:val="subscript"/>
          <w:lang w:val="en-US"/>
        </w:rPr>
        <w:t>t</w:t>
      </w:r>
      <w:r>
        <w:rPr>
          <w:lang w:val="en-US"/>
        </w:rPr>
        <w:t> </w:t>
      </w:r>
      <w:r w:rsidRPr="003A72B3">
        <w:rPr>
          <w:lang w:val="en-US"/>
        </w:rPr>
        <w:t>=</w:t>
      </w:r>
      <w:r>
        <w:rPr>
          <w:lang w:val="en-US"/>
        </w:rPr>
        <w:t> </w:t>
      </w:r>
      <w:r w:rsidRPr="003A72B3">
        <w:rPr>
          <w:lang w:val="en-US"/>
        </w:rPr>
        <w:t>2.2</w:t>
      </w:r>
      <w:r>
        <w:rPr>
          <w:lang w:val="en-US"/>
        </w:rPr>
        <w:t> </w:t>
      </w:r>
      <w:r w:rsidRPr="003A72B3">
        <w:rPr>
          <w:lang w:val="en-US"/>
        </w:rPr>
        <w:t xml:space="preserve">T, plasma current </w:t>
      </w:r>
      <w:r w:rsidRPr="003A72B3">
        <w:rPr>
          <w:i/>
          <w:iCs/>
          <w:lang w:val="en-US"/>
        </w:rPr>
        <w:t>I</w:t>
      </w:r>
      <w:r w:rsidRPr="003A72B3">
        <w:rPr>
          <w:i/>
          <w:iCs/>
          <w:vertAlign w:val="subscript"/>
          <w:lang w:val="en-US"/>
        </w:rPr>
        <w:t>pl</w:t>
      </w:r>
      <w:r>
        <w:rPr>
          <w:lang w:val="en-US"/>
        </w:rPr>
        <w:t> </w:t>
      </w:r>
      <w:r w:rsidRPr="003A72B3">
        <w:rPr>
          <w:lang w:val="en-US"/>
        </w:rPr>
        <w:t>=</w:t>
      </w:r>
      <w:r>
        <w:rPr>
          <w:lang w:val="en-US"/>
        </w:rPr>
        <w:t> </w:t>
      </w:r>
      <w:r w:rsidRPr="003A72B3">
        <w:rPr>
          <w:lang w:val="en-US"/>
        </w:rPr>
        <w:t>230</w:t>
      </w:r>
      <w:r>
        <w:rPr>
          <w:lang w:val="en-US"/>
        </w:rPr>
        <w:t> </w:t>
      </w:r>
      <w:r w:rsidRPr="003A72B3">
        <w:rPr>
          <w:lang w:val="en-US"/>
        </w:rPr>
        <w:t xml:space="preserve">kA, averaged-line electron density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lang w:val="en-US"/>
                  </w:rPr>
                  <m:t>n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</m:oMath>
      <w:r>
        <w:rPr>
          <w:lang w:val="en-US"/>
        </w:rPr>
        <w:t> </w:t>
      </w:r>
      <w:r w:rsidRPr="003A72B3">
        <w:rPr>
          <w:lang w:val="en-US"/>
        </w:rPr>
        <w:t>=</w:t>
      </w:r>
      <w:r>
        <w:rPr>
          <w:lang w:val="en-US"/>
        </w:rPr>
        <w:t> </w:t>
      </w:r>
      <w:r w:rsidRPr="003A72B3">
        <w:rPr>
          <w:lang w:val="en-US"/>
        </w:rPr>
        <w:t>1.1</w:t>
      </w:r>
      <w:r w:rsidRPr="00FC3871">
        <w:rPr>
          <w:lang w:val="en-US"/>
        </w:rPr>
        <w:t>ꞏ</w:t>
      </w:r>
      <w:r w:rsidRPr="003A72B3">
        <w:rPr>
          <w:lang w:val="en-US"/>
        </w:rPr>
        <w:t>10</w:t>
      </w:r>
      <w:r w:rsidRPr="003A72B3">
        <w:rPr>
          <w:vertAlign w:val="superscript"/>
          <w:lang w:val="en-US"/>
        </w:rPr>
        <w:t>19</w:t>
      </w:r>
      <w:r>
        <w:rPr>
          <w:lang w:val="en-US"/>
        </w:rPr>
        <w:t> </w:t>
      </w:r>
      <w:r w:rsidRPr="003A72B3">
        <w:rPr>
          <w:lang w:val="en-US"/>
        </w:rPr>
        <w:t>m</w:t>
      </w:r>
      <w:r w:rsidRPr="003A72B3">
        <w:rPr>
          <w:vertAlign w:val="superscript"/>
          <w:lang w:val="en-US"/>
        </w:rPr>
        <w:t>-3</w:t>
      </w:r>
      <w:r w:rsidRPr="003A72B3">
        <w:rPr>
          <w:lang w:val="en-US"/>
        </w:rPr>
        <w:t xml:space="preserve"> is presented. The potential measurements were made in the first </w:t>
      </w:r>
      <w:r>
        <w:rPr>
          <w:lang w:val="en-US"/>
        </w:rPr>
        <w:t>quadrant</w:t>
      </w:r>
      <w:r w:rsidRPr="003A72B3">
        <w:rPr>
          <w:lang w:val="en-US"/>
        </w:rPr>
        <w:t xml:space="preserve"> of the plasma</w:t>
      </w:r>
      <w:r>
        <w:rPr>
          <w:lang w:val="en-US"/>
        </w:rPr>
        <w:t xml:space="preserve"> </w:t>
      </w:r>
      <w:r w:rsidRPr="003A72B3">
        <w:rPr>
          <w:lang w:val="en-US"/>
        </w:rPr>
        <w:t>cross section (</w:t>
      </w:r>
      <w:r>
        <w:rPr>
          <w:lang w:val="en-US"/>
        </w:rPr>
        <w:t>F</w:t>
      </w:r>
      <w:r w:rsidRPr="003A72B3">
        <w:rPr>
          <w:lang w:val="en-US"/>
        </w:rPr>
        <w:t>ig. 1).</w:t>
      </w:r>
    </w:p>
    <w:p w:rsidR="00627BA4" w:rsidRPr="003A72B3" w:rsidRDefault="00627BA4" w:rsidP="00627BA4">
      <w:pPr>
        <w:pStyle w:val="Zv-bodyreport"/>
        <w:rPr>
          <w:lang w:val="en-US"/>
        </w:rPr>
      </w:pPr>
      <w:r w:rsidRPr="003A72B3">
        <w:rPr>
          <w:lang w:val="en-US"/>
        </w:rPr>
        <w:t>I</w:t>
      </w:r>
      <w:r>
        <w:rPr>
          <w:lang w:val="en-US"/>
        </w:rPr>
        <w:t>t was found that i</w:t>
      </w:r>
      <w:r w:rsidRPr="003A72B3">
        <w:rPr>
          <w:lang w:val="en-US"/>
        </w:rPr>
        <w:t>n this T-10</w:t>
      </w:r>
      <w:r>
        <w:rPr>
          <w:lang w:val="en-US"/>
        </w:rPr>
        <w:t xml:space="preserve"> tokamak</w:t>
      </w:r>
      <w:r w:rsidRPr="003A72B3">
        <w:rPr>
          <w:lang w:val="en-US"/>
        </w:rPr>
        <w:t xml:space="preserve"> regime:</w:t>
      </w:r>
    </w:p>
    <w:p w:rsidR="00627BA4" w:rsidRPr="003A72B3" w:rsidRDefault="00627BA4" w:rsidP="00627BA4">
      <w:pPr>
        <w:pStyle w:val="Zv-bodyreport"/>
        <w:numPr>
          <w:ilvl w:val="0"/>
          <w:numId w:val="8"/>
        </w:numPr>
        <w:rPr>
          <w:lang w:val="en-US"/>
        </w:rPr>
      </w:pPr>
      <w:r>
        <w:rPr>
          <w:lang w:val="en-US"/>
        </w:rPr>
        <w:t>t</w:t>
      </w:r>
      <w:r w:rsidRPr="003A72B3">
        <w:rPr>
          <w:lang w:val="en-US"/>
        </w:rPr>
        <w:t xml:space="preserve">he potential distribution is consistent with the vacuum magnetic flux surfaces of the </w:t>
      </w:r>
      <w:r>
        <w:rPr>
          <w:lang w:val="en-US"/>
        </w:rPr>
        <w:t>device</w:t>
      </w:r>
      <w:r w:rsidRPr="003A72B3">
        <w:rPr>
          <w:lang w:val="en-US"/>
        </w:rPr>
        <w:t>;</w:t>
      </w:r>
    </w:p>
    <w:p w:rsidR="00627BA4" w:rsidRPr="003A72B3" w:rsidRDefault="00627BA4" w:rsidP="00627BA4">
      <w:pPr>
        <w:pStyle w:val="Zv-bodyreport"/>
        <w:numPr>
          <w:ilvl w:val="0"/>
          <w:numId w:val="8"/>
        </w:numPr>
        <w:rPr>
          <w:lang w:val="en-US"/>
        </w:rPr>
      </w:pPr>
      <w:r w:rsidRPr="003A72B3">
        <w:rPr>
          <w:lang w:val="en-US"/>
        </w:rPr>
        <w:t xml:space="preserve">in the central plasma region the potential </w:t>
      </w:r>
      <w:r>
        <w:rPr>
          <w:lang w:val="en-US"/>
        </w:rPr>
        <w:t>has a value</w:t>
      </w:r>
      <w:r w:rsidRPr="003A72B3">
        <w:rPr>
          <w:lang w:val="en-US"/>
        </w:rPr>
        <w:t xml:space="preserve"> </w:t>
      </w:r>
      <w:r w:rsidRPr="00697A32">
        <w:rPr>
          <w:i/>
          <w:iCs/>
          <w:lang w:val="en-US"/>
        </w:rPr>
        <w:t>φ</w:t>
      </w:r>
      <w:r w:rsidRPr="00697A32">
        <w:rPr>
          <w:lang w:val="en-US"/>
        </w:rPr>
        <w:t>(</w:t>
      </w:r>
      <w:r w:rsidRPr="005B1CBD">
        <w:rPr>
          <w:i/>
          <w:iCs/>
          <w:lang w:val="en-US"/>
        </w:rPr>
        <w:t>r</w:t>
      </w:r>
      <w:r w:rsidRPr="00697A32">
        <w:rPr>
          <w:i/>
          <w:iCs/>
          <w:lang w:val="en-US"/>
        </w:rPr>
        <w:t>/</w:t>
      </w:r>
      <w:r w:rsidRPr="005B1CBD">
        <w:rPr>
          <w:i/>
          <w:iCs/>
          <w:lang w:val="en-US"/>
        </w:rPr>
        <w:t>a</w:t>
      </w:r>
      <w:r w:rsidRPr="00697A32">
        <w:rPr>
          <w:i/>
          <w:iCs/>
          <w:lang w:val="en-US"/>
        </w:rPr>
        <w:t> </w:t>
      </w:r>
      <w:r w:rsidRPr="00697A32">
        <w:rPr>
          <w:lang w:val="en-US"/>
        </w:rPr>
        <w:t>= 0.24)</w:t>
      </w:r>
      <w:r>
        <w:rPr>
          <w:lang w:val="en-US"/>
        </w:rPr>
        <w:t> </w:t>
      </w:r>
      <w:r w:rsidRPr="003A72B3">
        <w:rPr>
          <w:lang w:val="en-US"/>
        </w:rPr>
        <w:t>≈</w:t>
      </w:r>
      <w:r>
        <w:rPr>
          <w:lang w:val="en-US"/>
        </w:rPr>
        <w:t> </w:t>
      </w:r>
      <w:r w:rsidRPr="003A72B3">
        <w:rPr>
          <w:lang w:val="en-US"/>
        </w:rPr>
        <w:t>-1500 V;</w:t>
      </w:r>
    </w:p>
    <w:p w:rsidR="00627BA4" w:rsidRDefault="00627BA4" w:rsidP="00627BA4">
      <w:pPr>
        <w:pStyle w:val="Zv-bodyreport"/>
        <w:numPr>
          <w:ilvl w:val="0"/>
          <w:numId w:val="8"/>
        </w:numPr>
        <w:rPr>
          <w:lang w:val="en-US"/>
        </w:rPr>
      </w:pPr>
      <w:r w:rsidRPr="003A72B3">
        <w:rPr>
          <w:lang w:val="en-US"/>
        </w:rPr>
        <w:t xml:space="preserve">at the periphery of the plasma the potential </w:t>
      </w:r>
      <w:r>
        <w:rPr>
          <w:lang w:val="en-US"/>
        </w:rPr>
        <w:t>has a value</w:t>
      </w:r>
      <w:r w:rsidRPr="003A72B3">
        <w:rPr>
          <w:lang w:val="en-US"/>
        </w:rPr>
        <w:t xml:space="preserve"> </w:t>
      </w:r>
      <w:r w:rsidRPr="00697A32">
        <w:rPr>
          <w:i/>
          <w:iCs/>
          <w:lang w:val="en-US"/>
        </w:rPr>
        <w:t>φ</w:t>
      </w:r>
      <w:r w:rsidRPr="00697A32">
        <w:rPr>
          <w:lang w:val="en-US"/>
        </w:rPr>
        <w:t>(</w:t>
      </w:r>
      <w:r w:rsidRPr="005B1CBD">
        <w:rPr>
          <w:i/>
          <w:iCs/>
          <w:lang w:val="en-US"/>
        </w:rPr>
        <w:t>r</w:t>
      </w:r>
      <w:r w:rsidRPr="00697A32">
        <w:rPr>
          <w:i/>
          <w:iCs/>
          <w:lang w:val="en-US"/>
        </w:rPr>
        <w:t>/</w:t>
      </w:r>
      <w:r w:rsidRPr="005B1CBD">
        <w:rPr>
          <w:i/>
          <w:iCs/>
          <w:lang w:val="en-US"/>
        </w:rPr>
        <w:t>a</w:t>
      </w:r>
      <w:r w:rsidRPr="00697A32">
        <w:rPr>
          <w:i/>
          <w:iCs/>
          <w:lang w:val="en-US"/>
        </w:rPr>
        <w:t> </w:t>
      </w:r>
      <w:r w:rsidRPr="00697A32">
        <w:rPr>
          <w:lang w:val="en-US"/>
        </w:rPr>
        <w:t>= 0.</w:t>
      </w:r>
      <w:r>
        <w:rPr>
          <w:lang w:val="en-US"/>
        </w:rPr>
        <w:t>9</w:t>
      </w:r>
      <w:r w:rsidRPr="00697A32">
        <w:rPr>
          <w:lang w:val="en-US"/>
        </w:rPr>
        <w:t>)</w:t>
      </w:r>
      <w:r>
        <w:rPr>
          <w:lang w:val="en-US"/>
        </w:rPr>
        <w:t> </w:t>
      </w:r>
      <w:r w:rsidRPr="003A72B3">
        <w:rPr>
          <w:lang w:val="en-US"/>
        </w:rPr>
        <w:t>≈</w:t>
      </w:r>
      <w:r>
        <w:rPr>
          <w:lang w:val="en-US"/>
        </w:rPr>
        <w:t> </w:t>
      </w:r>
      <w:r w:rsidRPr="003A72B3">
        <w:rPr>
          <w:lang w:val="en-US"/>
        </w:rPr>
        <w:t>+170 V.</w:t>
      </w:r>
    </w:p>
    <w:p w:rsidR="00627BA4" w:rsidRDefault="00627BA4" w:rsidP="00627BA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27BA4" w:rsidRPr="006B52FA" w:rsidRDefault="00627BA4" w:rsidP="00627BA4">
      <w:pPr>
        <w:pStyle w:val="Zv-References-en"/>
      </w:pPr>
      <w:r w:rsidRPr="006B52FA">
        <w:t xml:space="preserve">Shimizu A. </w:t>
      </w:r>
      <w:r w:rsidRPr="006B52FA">
        <w:rPr>
          <w:i/>
          <w:iCs/>
        </w:rPr>
        <w:t>et al.</w:t>
      </w:r>
      <w:r w:rsidRPr="006B52FA">
        <w:t xml:space="preserve"> // Rev. Sci. Instrum., 2014. V. 85. № 11. P. 11D853-1.</w:t>
      </w:r>
    </w:p>
    <w:p w:rsidR="00627BA4" w:rsidRPr="006B52FA" w:rsidRDefault="00627BA4" w:rsidP="00627BA4">
      <w:pPr>
        <w:pStyle w:val="Zv-References-en"/>
      </w:pPr>
      <w:r w:rsidRPr="00D52FB9">
        <w:t xml:space="preserve">Shimizu A. </w:t>
      </w:r>
      <w:r w:rsidRPr="006B52FA">
        <w:rPr>
          <w:i/>
        </w:rPr>
        <w:t>et al.</w:t>
      </w:r>
      <w:r w:rsidRPr="00D52FB9">
        <w:t xml:space="preserve"> // Rev. Sci. Instrum., 201</w:t>
      </w:r>
      <w:r>
        <w:t>6</w:t>
      </w:r>
      <w:r w:rsidRPr="00CC4951">
        <w:t>,</w:t>
      </w:r>
      <w:r w:rsidRPr="00D52FB9">
        <w:t xml:space="preserve"> </w:t>
      </w:r>
      <w:r>
        <w:t>V</w:t>
      </w:r>
      <w:r w:rsidRPr="00D52FB9">
        <w:t>.</w:t>
      </w:r>
      <w:r>
        <w:t xml:space="preserve"> </w:t>
      </w:r>
      <w:r w:rsidRPr="00D52FB9">
        <w:t>8</w:t>
      </w:r>
      <w:r>
        <w:t>7</w:t>
      </w:r>
      <w:r w:rsidRPr="00CC4951">
        <w:t>,</w:t>
      </w:r>
      <w:r w:rsidRPr="00D52FB9">
        <w:t xml:space="preserve"> №</w:t>
      </w:r>
      <w:r>
        <w:t xml:space="preserve"> </w:t>
      </w:r>
      <w:r w:rsidRPr="00D52FB9">
        <w:t>11</w:t>
      </w:r>
      <w:r w:rsidRPr="00CC4951">
        <w:t>,</w:t>
      </w:r>
      <w:r w:rsidRPr="00D52FB9">
        <w:t xml:space="preserve"> </w:t>
      </w:r>
      <w:r>
        <w:t>P</w:t>
      </w:r>
      <w:r w:rsidRPr="00D52FB9">
        <w:t>.</w:t>
      </w:r>
      <w:r>
        <w:t xml:space="preserve"> </w:t>
      </w:r>
      <w:r w:rsidRPr="008C28B9">
        <w:t>11E731</w:t>
      </w:r>
      <w:r w:rsidRPr="00D52FB9">
        <w:t>.</w:t>
      </w:r>
    </w:p>
    <w:p w:rsidR="00627BA4" w:rsidRPr="0076635C" w:rsidRDefault="00627BA4" w:rsidP="00627BA4">
      <w:pPr>
        <w:pStyle w:val="Zv-References-en"/>
        <w:rPr>
          <w:rStyle w:val="a7"/>
          <w:color w:val="auto"/>
          <w:u w:val="none"/>
        </w:rPr>
      </w:pPr>
      <w:r w:rsidRPr="006B52FA">
        <w:rPr>
          <w:rStyle w:val="a7"/>
          <w:color w:val="auto"/>
          <w:u w:val="none"/>
        </w:rPr>
        <w:t xml:space="preserve">Sharma R. </w:t>
      </w:r>
      <w:r w:rsidRPr="006B52FA">
        <w:rPr>
          <w:rStyle w:val="a7"/>
          <w:i/>
          <w:iCs/>
          <w:color w:val="auto"/>
          <w:u w:val="none"/>
        </w:rPr>
        <w:t>et al.</w:t>
      </w:r>
      <w:r w:rsidRPr="006B52FA">
        <w:rPr>
          <w:rStyle w:val="a7"/>
          <w:color w:val="auto"/>
          <w:u w:val="none"/>
        </w:rPr>
        <w:t xml:space="preserve"> // Phys. </w:t>
      </w:r>
      <w:r w:rsidRPr="0076635C">
        <w:rPr>
          <w:rStyle w:val="a7"/>
          <w:color w:val="auto"/>
          <w:u w:val="none"/>
        </w:rPr>
        <w:t>Plasmas, 2020. V. 27. P. 062502.</w:t>
      </w:r>
    </w:p>
    <w:p w:rsidR="00627BA4" w:rsidRPr="009B6D29" w:rsidRDefault="00627BA4" w:rsidP="00627BA4">
      <w:pPr>
        <w:pStyle w:val="Zv-References-en"/>
        <w:rPr>
          <w:rStyle w:val="a7"/>
          <w:color w:val="auto"/>
          <w:u w:val="none"/>
        </w:rPr>
      </w:pPr>
      <w:r w:rsidRPr="009B6D29">
        <w:rPr>
          <w:rStyle w:val="a7"/>
          <w:color w:val="auto"/>
          <w:u w:val="none"/>
        </w:rPr>
        <w:t xml:space="preserve">Melnikov A.V. </w:t>
      </w:r>
      <w:r w:rsidRPr="009B6D29">
        <w:rPr>
          <w:rStyle w:val="a7"/>
          <w:i/>
          <w:iCs/>
          <w:color w:val="auto"/>
          <w:u w:val="none"/>
        </w:rPr>
        <w:t>et al.</w:t>
      </w:r>
      <w:r w:rsidRPr="009B6D29">
        <w:rPr>
          <w:rStyle w:val="a7"/>
          <w:color w:val="auto"/>
          <w:u w:val="none"/>
        </w:rPr>
        <w:t xml:space="preserve"> // Plasma Phys. Control. Fusion, 2022. V. 64. № 5. P. 054009 (10pp).</w:t>
      </w:r>
    </w:p>
    <w:p w:rsidR="00627BA4" w:rsidRPr="009B6D29" w:rsidRDefault="00627BA4" w:rsidP="00627BA4">
      <w:pPr>
        <w:pStyle w:val="Zv-References-en"/>
      </w:pPr>
      <w:r w:rsidRPr="009B6D29">
        <w:t xml:space="preserve">Melnikov A.V. </w:t>
      </w:r>
      <w:r w:rsidRPr="009B6D29">
        <w:rPr>
          <w:i/>
          <w:iCs/>
        </w:rPr>
        <w:t>et al.</w:t>
      </w:r>
      <w:r w:rsidRPr="009B6D29">
        <w:t xml:space="preserve"> // Fusion Eng. Des., 2019. V. 146. P. 850-853.</w:t>
      </w:r>
    </w:p>
    <w:sectPr w:rsidR="00627BA4" w:rsidRPr="009B6D29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D18" w:rsidRDefault="00816D18">
      <w:r>
        <w:separator/>
      </w:r>
    </w:p>
  </w:endnote>
  <w:endnote w:type="continuationSeparator" w:id="0">
    <w:p w:rsidR="00816D18" w:rsidRDefault="0081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A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A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4AC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D18" w:rsidRDefault="00816D18">
      <w:r>
        <w:separator/>
      </w:r>
    </w:p>
  </w:footnote>
  <w:footnote w:type="continuationSeparator" w:id="0">
    <w:p w:rsidR="00816D18" w:rsidRDefault="00816D18">
      <w:r>
        <w:continuationSeparator/>
      </w:r>
    </w:p>
  </w:footnote>
  <w:footnote w:id="1">
    <w:p w:rsidR="00DD4AC6" w:rsidRPr="00DD4AC6" w:rsidRDefault="00DD4AC6">
      <w:pPr>
        <w:pStyle w:val="a9"/>
        <w:rPr>
          <w:lang w:val="en-US"/>
        </w:rPr>
      </w:pPr>
      <w:r w:rsidRPr="00DD4AC6">
        <w:rPr>
          <w:rStyle w:val="ab"/>
          <w:lang w:val="en-US"/>
        </w:rPr>
        <w:t>*)</w:t>
      </w:r>
      <w:r w:rsidRPr="00DD4AC6">
        <w:rPr>
          <w:lang w:val="en-US"/>
        </w:rPr>
        <w:t xml:space="preserve"> </w:t>
      </w:r>
      <w:hyperlink r:id="rId1" w:history="1">
        <w:r w:rsidRPr="00DD4AC6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D62A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05EBB"/>
    <w:multiLevelType w:val="hybridMultilevel"/>
    <w:tmpl w:val="EABE3B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145C5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27BA4"/>
    <w:rsid w:val="00654A7B"/>
    <w:rsid w:val="006B5B24"/>
    <w:rsid w:val="00732A2E"/>
    <w:rsid w:val="00794B93"/>
    <w:rsid w:val="007B09C9"/>
    <w:rsid w:val="007B6378"/>
    <w:rsid w:val="007E06CE"/>
    <w:rsid w:val="00802D35"/>
    <w:rsid w:val="00816D18"/>
    <w:rsid w:val="008306AF"/>
    <w:rsid w:val="008520F9"/>
    <w:rsid w:val="00871582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62AB1"/>
    <w:rsid w:val="00D75E08"/>
    <w:rsid w:val="00D900FB"/>
    <w:rsid w:val="00D92E54"/>
    <w:rsid w:val="00DC6E63"/>
    <w:rsid w:val="00DD4AC6"/>
    <w:rsid w:val="00E118BE"/>
    <w:rsid w:val="00E145C5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627BA4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627BA4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Zv-bodyreportChar">
    <w:name w:val="Zv-body_report Char"/>
    <w:link w:val="Zv-bodyreport"/>
    <w:locked/>
    <w:rsid w:val="00627BA4"/>
    <w:rPr>
      <w:sz w:val="24"/>
      <w:szCs w:val="24"/>
    </w:rPr>
  </w:style>
  <w:style w:type="paragraph" w:styleId="a9">
    <w:name w:val="footnote text"/>
    <w:basedOn w:val="a"/>
    <w:link w:val="aa"/>
    <w:rsid w:val="00DD4AC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D4AC6"/>
  </w:style>
  <w:style w:type="character" w:styleId="ab">
    <w:name w:val="footnote reference"/>
    <w:basedOn w:val="a0"/>
    <w:rsid w:val="00DD4AC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u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gpi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eph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onwisconsin@admissions.wisc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ru/CR-Ammos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8784C-164D-4BB6-B26A-7805DF27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25</TotalTime>
  <Pages>1</Pages>
  <Words>423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 DISTRIBUTION OF ELECTRIC POTENTIAL IN THE T-10 TOKAMAK OHMIC PLASMAS</dc:title>
  <dc:creator/>
  <cp:lastModifiedBy>Сатунин</cp:lastModifiedBy>
  <cp:revision>3</cp:revision>
  <cp:lastPrinted>1601-01-01T00:00:00Z</cp:lastPrinted>
  <dcterms:created xsi:type="dcterms:W3CDTF">2023-02-28T19:29:00Z</dcterms:created>
  <dcterms:modified xsi:type="dcterms:W3CDTF">2023-05-12T09:58:00Z</dcterms:modified>
</cp:coreProperties>
</file>