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9E" w:rsidRPr="00043D7E" w:rsidRDefault="0022059E" w:rsidP="0022059E">
      <w:pPr>
        <w:pStyle w:val="Zv-Titlereport"/>
        <w:rPr>
          <w:lang w:val="en-US"/>
        </w:rPr>
      </w:pPr>
      <w:r>
        <w:rPr>
          <w:lang w:val="en-US"/>
        </w:rPr>
        <w:t>Temperature dependency of the GAM and its satellites frequency In T-10 tokamak plasmas</w:t>
      </w:r>
      <w:r w:rsidR="00573181">
        <w:rPr>
          <w:lang w:val="en-US"/>
        </w:rPr>
        <w:t xml:space="preserve"> </w:t>
      </w:r>
      <w:r w:rsidR="00573181">
        <w:rPr>
          <w:rStyle w:val="aa"/>
          <w:lang w:val="en-US"/>
        </w:rPr>
        <w:footnoteReference w:customMarkFollows="1" w:id="1"/>
        <w:t>*)</w:t>
      </w:r>
    </w:p>
    <w:p w:rsidR="0022059E" w:rsidRDefault="0022059E" w:rsidP="0022059E">
      <w:pPr>
        <w:pStyle w:val="Zv-Author"/>
        <w:rPr>
          <w:lang w:val="en-US"/>
        </w:rPr>
      </w:pPr>
      <w:r>
        <w:rPr>
          <w:vertAlign w:val="superscript"/>
          <w:lang w:val="en-US"/>
        </w:rPr>
        <w:t>2</w:t>
      </w:r>
      <w:r w:rsidRPr="0035056D">
        <w:rPr>
          <w:lang w:val="en-US"/>
        </w:rPr>
        <w:t>Krokhalev</w:t>
      </w:r>
      <w:r w:rsidRPr="00677F82">
        <w:rPr>
          <w:lang w:val="en-US"/>
        </w:rPr>
        <w:t xml:space="preserve"> </w:t>
      </w:r>
      <w:r w:rsidRPr="0035056D">
        <w:rPr>
          <w:lang w:val="en-US"/>
        </w:rPr>
        <w:t xml:space="preserve">O.D., </w:t>
      </w:r>
      <w:r w:rsidRPr="0035056D">
        <w:rPr>
          <w:vertAlign w:val="superscript"/>
          <w:lang w:val="en-US"/>
        </w:rPr>
        <w:t>1,2</w:t>
      </w:r>
      <w:r>
        <w:rPr>
          <w:vertAlign w:val="superscript"/>
          <w:lang w:val="en-US"/>
        </w:rPr>
        <w:t>,3</w:t>
      </w:r>
      <w:r w:rsidRPr="0035056D">
        <w:rPr>
          <w:lang w:val="en-US"/>
        </w:rPr>
        <w:t>Melnikov</w:t>
      </w:r>
      <w:r w:rsidRPr="00677F82">
        <w:rPr>
          <w:lang w:val="en-US"/>
        </w:rPr>
        <w:t xml:space="preserve"> </w:t>
      </w:r>
      <w:r w:rsidRPr="0035056D">
        <w:rPr>
          <w:lang w:val="en-US"/>
        </w:rPr>
        <w:t xml:space="preserve">A.V., </w:t>
      </w:r>
      <w:r w:rsidRPr="0035056D">
        <w:rPr>
          <w:vertAlign w:val="superscript"/>
          <w:lang w:val="en-US"/>
        </w:rPr>
        <w:t>1</w:t>
      </w:r>
      <w:r w:rsidRPr="0035056D">
        <w:rPr>
          <w:lang w:val="en-US"/>
        </w:rPr>
        <w:t>Drabinskiy</w:t>
      </w:r>
      <w:r w:rsidRPr="00677F82">
        <w:rPr>
          <w:lang w:val="en-US"/>
        </w:rPr>
        <w:t xml:space="preserve"> </w:t>
      </w:r>
      <w:r w:rsidRPr="0035056D">
        <w:rPr>
          <w:lang w:val="en-US"/>
        </w:rPr>
        <w:t xml:space="preserve">M.A., </w:t>
      </w:r>
      <w:r w:rsidRPr="0035056D">
        <w:rPr>
          <w:vertAlign w:val="superscript"/>
          <w:lang w:val="en-US"/>
        </w:rPr>
        <w:t>1</w:t>
      </w:r>
      <w:r w:rsidRPr="0035056D">
        <w:rPr>
          <w:lang w:val="en-US"/>
        </w:rPr>
        <w:t>Eliseev</w:t>
      </w:r>
      <w:r w:rsidRPr="00677F82">
        <w:rPr>
          <w:lang w:val="en-US"/>
        </w:rPr>
        <w:t xml:space="preserve"> </w:t>
      </w:r>
      <w:r w:rsidRPr="0035056D">
        <w:rPr>
          <w:lang w:val="en-US"/>
        </w:rPr>
        <w:t>L.G.</w:t>
      </w:r>
    </w:p>
    <w:p w:rsidR="0022059E" w:rsidRDefault="0022059E" w:rsidP="0022059E">
      <w:pPr>
        <w:pStyle w:val="Zv-Organization"/>
        <w:rPr>
          <w:lang w:val="en-US"/>
        </w:rPr>
      </w:pPr>
      <w:r w:rsidRPr="0035056D">
        <w:rPr>
          <w:vertAlign w:val="superscript"/>
          <w:lang w:val="en-US"/>
        </w:rPr>
        <w:t>1</w:t>
      </w:r>
      <w:r w:rsidRPr="0035056D">
        <w:rPr>
          <w:lang w:val="en-US"/>
        </w:rPr>
        <w:t xml:space="preserve">NRC “Kurchatov Institute”, Moscow, Russia, </w:t>
      </w:r>
      <w:hyperlink r:id="rId8" w:history="1">
        <w:r w:rsidRPr="0058427D">
          <w:rPr>
            <w:rStyle w:val="a7"/>
            <w:lang w:val="en-US"/>
          </w:rPr>
          <w:t>nrcki@nrcki.ru</w:t>
        </w:r>
      </w:hyperlink>
      <w:r>
        <w:rPr>
          <w:lang w:val="en-US"/>
        </w:rPr>
        <w:br/>
      </w:r>
      <w:r w:rsidRPr="0035056D">
        <w:rPr>
          <w:vertAlign w:val="superscript"/>
          <w:lang w:val="en-US"/>
        </w:rPr>
        <w:t>2</w:t>
      </w:r>
      <w:r w:rsidRPr="0035056D">
        <w:rPr>
          <w:lang w:val="en-US"/>
        </w:rPr>
        <w:t xml:space="preserve">Moscow Institute of Physics and Technology, Moscow, Russia, </w:t>
      </w:r>
      <w:hyperlink r:id="rId9" w:history="1">
        <w:r w:rsidRPr="0058427D">
          <w:rPr>
            <w:rStyle w:val="a7"/>
            <w:lang w:val="en-US"/>
          </w:rPr>
          <w:t>info@mipt.ru</w:t>
        </w:r>
      </w:hyperlink>
      <w:r>
        <w:rPr>
          <w:lang w:val="en-US"/>
        </w:rPr>
        <w:br/>
      </w:r>
      <w:r>
        <w:rPr>
          <w:vertAlign w:val="superscript"/>
          <w:lang w:val="en-US"/>
        </w:rPr>
        <w:t>3</w:t>
      </w:r>
      <w:r w:rsidRPr="0035056D">
        <w:rPr>
          <w:lang w:val="en-US"/>
        </w:rPr>
        <w:t xml:space="preserve">Moscow Engineering Physics Institute, Moscow, Russia, </w:t>
      </w:r>
      <w:hyperlink r:id="rId10" w:history="1">
        <w:r w:rsidRPr="0058427D">
          <w:rPr>
            <w:rStyle w:val="a7"/>
            <w:lang w:val="en-US"/>
          </w:rPr>
          <w:t>info@mephi.ru</w:t>
        </w:r>
      </w:hyperlink>
    </w:p>
    <w:p w:rsidR="0022059E" w:rsidRDefault="0022059E" w:rsidP="0022059E">
      <w:pPr>
        <w:pStyle w:val="Zv-bodyreport"/>
        <w:rPr>
          <w:lang w:val="en-US"/>
        </w:rPr>
      </w:pPr>
      <w:r>
        <w:rPr>
          <w:lang w:val="en-US"/>
        </w:rPr>
        <w:t>Geodesic acoustic mode, which is high-frequency counterpart of zonal flows, in T-10 tokamak plasmas has three-peak frequency structure [</w:t>
      </w:r>
      <w:r w:rsidRPr="007417E1">
        <w:rPr>
          <w:lang w:val="en-US"/>
        </w:rPr>
        <w:t>1</w:t>
      </w:r>
      <w:r>
        <w:rPr>
          <w:lang w:val="en-US"/>
        </w:rPr>
        <w:t>]. For each of three peaks radial constancy of amplitude and frequency has been shown [</w:t>
      </w:r>
      <w:r w:rsidRPr="007417E1">
        <w:rPr>
          <w:lang w:val="en-US"/>
        </w:rPr>
        <w:t>2</w:t>
      </w:r>
      <w:r>
        <w:rPr>
          <w:lang w:val="en-US"/>
        </w:rPr>
        <w:t xml:space="preserve">]. </w:t>
      </w:r>
    </w:p>
    <w:p w:rsidR="0022059E" w:rsidRDefault="0022059E" w:rsidP="0022059E">
      <w:pPr>
        <w:pStyle w:val="Zv-bodyreport"/>
        <w:spacing w:line="238" w:lineRule="auto"/>
        <w:rPr>
          <w:lang w:val="en-US"/>
        </w:rPr>
      </w:pPr>
      <w:r>
        <w:rPr>
          <w:noProof/>
          <w:szCs w:val="28"/>
        </w:rPr>
        <w:drawing>
          <wp:anchor distT="0" distB="0" distL="114300" distR="114300" simplePos="0" relativeHeight="251661312" behindDoc="0" locked="1" layoutInCell="1" allowOverlap="1">
            <wp:simplePos x="0" y="0"/>
            <wp:positionH relativeFrom="column">
              <wp:posOffset>3308985</wp:posOffset>
            </wp:positionH>
            <wp:positionV relativeFrom="paragraph">
              <wp:posOffset>2272030</wp:posOffset>
            </wp:positionV>
            <wp:extent cx="2886075" cy="1343025"/>
            <wp:effectExtent l="19050" t="0" r="9525" b="0"/>
            <wp:wrapSquare wrapText="bothSides"/>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886075" cy="1343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24A4E" w:rsidRPr="00724A4E">
        <w:rPr>
          <w:noProof/>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2.05pt;margin-top:175.15pt;width:254.75pt;height:219.75pt;z-index:251660288;mso-position-horizontal-relative:text;mso-position-vertical-relative:text;mso-width-relative:margin;mso-height-relative:margin" stroked="f">
            <v:textbox style="mso-next-textbox:#_x0000_s1026">
              <w:txbxContent>
                <w:p w:rsidR="0022059E" w:rsidRDefault="0022059E" w:rsidP="0022059E">
                  <w:pPr>
                    <w:spacing w:after="120"/>
                    <w:rPr>
                      <w:lang w:val="en-US"/>
                    </w:rPr>
                  </w:pPr>
                  <w:r w:rsidRPr="00602A57">
                    <w:rPr>
                      <w:noProof/>
                    </w:rPr>
                    <w:drawing>
                      <wp:inline distT="0" distB="0" distL="0" distR="0">
                        <wp:extent cx="2967990" cy="131318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67990" cy="131318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lang w:val="en-US"/>
                    </w:rPr>
                    <w:t xml:space="preserve"> </w:t>
                  </w:r>
                </w:p>
                <w:p w:rsidR="0022059E" w:rsidRPr="00602A57" w:rsidRDefault="0022059E" w:rsidP="0022059E">
                  <w:pPr>
                    <w:rPr>
                      <w:lang w:val="en-US"/>
                    </w:rPr>
                  </w:pPr>
                  <w:r w:rsidRPr="00602A57">
                    <w:rPr>
                      <w:noProof/>
                    </w:rPr>
                    <w:drawing>
                      <wp:inline distT="0" distB="0" distL="0" distR="0">
                        <wp:extent cx="3048000" cy="130619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048635" cy="130619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w10:wrap type="square"/>
            <w10:anchorlock/>
          </v:shape>
        </w:pict>
      </w:r>
      <w:r>
        <w:rPr>
          <w:lang w:val="en-US"/>
        </w:rPr>
        <w:t>This paper presents research of GAM in T-10 tokamak, made with heavy ion beam probe [3]. Electron temperature was measured with second harmonics of ECE and soft-roentgen. A new method of spectra approximation</w:t>
      </w:r>
      <w:r w:rsidRPr="00C30BA1">
        <w:rPr>
          <w:lang w:val="en-US"/>
        </w:rPr>
        <w:t xml:space="preserve"> </w:t>
      </w:r>
      <w:r>
        <w:rPr>
          <w:lang w:val="en-US"/>
        </w:rPr>
        <w:t xml:space="preserve">by the sum of three Gaussians, corresponding to the main peak, the HF-satellite and the LF-satellite, was applied; approximate frequencies were determined from data, measured in other radial position in the same regime. This method increased reliability of spectrum separation and allowed to plot temperature dependencies of GAM and its satellites frequencies in wide variety of regimes with </w:t>
      </w:r>
      <w:r>
        <w:rPr>
          <w:szCs w:val="28"/>
          <w:lang w:val="en-US"/>
        </w:rPr>
        <w:t>n</w:t>
      </w:r>
      <w:r w:rsidRPr="000857D1">
        <w:rPr>
          <w:szCs w:val="28"/>
          <w:vertAlign w:val="subscript"/>
          <w:lang w:val="en-US"/>
        </w:rPr>
        <w:t>e</w:t>
      </w:r>
      <w:r w:rsidRPr="00D407AC">
        <w:rPr>
          <w:lang w:val="en-US"/>
        </w:rPr>
        <w:t> </w:t>
      </w:r>
      <w:r w:rsidRPr="00D407AC">
        <w:rPr>
          <w:szCs w:val="28"/>
          <w:lang w:val="en-US"/>
        </w:rPr>
        <w:t>= 0.9</w:t>
      </w:r>
      <w:r w:rsidRPr="00D407AC">
        <w:rPr>
          <w:szCs w:val="28"/>
          <w:lang w:val="en-US"/>
        </w:rPr>
        <w:noBreakHyphen/>
        <w:t>4.3∙10</w:t>
      </w:r>
      <w:r w:rsidRPr="00D407AC">
        <w:rPr>
          <w:szCs w:val="28"/>
          <w:vertAlign w:val="superscript"/>
          <w:lang w:val="en-US"/>
        </w:rPr>
        <w:t>19</w:t>
      </w:r>
      <w:r w:rsidRPr="00D407AC">
        <w:rPr>
          <w:szCs w:val="28"/>
          <w:lang w:val="en-US"/>
        </w:rPr>
        <w:t> </w:t>
      </w:r>
      <w:r>
        <w:rPr>
          <w:szCs w:val="28"/>
          <w:lang w:val="en-US"/>
        </w:rPr>
        <w:t>m</w:t>
      </w:r>
      <w:r w:rsidRPr="00D407AC">
        <w:rPr>
          <w:szCs w:val="28"/>
          <w:vertAlign w:val="superscript"/>
          <w:lang w:val="en-US"/>
        </w:rPr>
        <w:t>-3</w:t>
      </w:r>
      <w:r w:rsidRPr="00D407AC">
        <w:rPr>
          <w:szCs w:val="28"/>
          <w:lang w:val="en-US"/>
        </w:rPr>
        <w:t xml:space="preserve">, </w:t>
      </w:r>
      <w:r w:rsidRPr="004A38EA">
        <w:rPr>
          <w:szCs w:val="28"/>
        </w:rPr>
        <w:t>Т</w:t>
      </w:r>
      <w:r w:rsidRPr="004A38EA">
        <w:rPr>
          <w:szCs w:val="28"/>
          <w:vertAlign w:val="subscript"/>
        </w:rPr>
        <w:t>е</w:t>
      </w:r>
      <w:r w:rsidRPr="00D407AC">
        <w:rPr>
          <w:szCs w:val="28"/>
          <w:lang w:val="en-US"/>
        </w:rPr>
        <w:t>(0) = 0.9</w:t>
      </w:r>
      <w:r w:rsidRPr="00D407AC">
        <w:rPr>
          <w:szCs w:val="28"/>
          <w:lang w:val="en-US"/>
        </w:rPr>
        <w:noBreakHyphen/>
        <w:t>3.5 </w:t>
      </w:r>
      <w:r>
        <w:rPr>
          <w:szCs w:val="28"/>
          <w:lang w:val="en-US"/>
        </w:rPr>
        <w:t>keV</w:t>
      </w:r>
      <w:r>
        <w:rPr>
          <w:lang w:val="en-US"/>
        </w:rPr>
        <w:t xml:space="preserve">, including regimes with intense ECR heating: </w:t>
      </w:r>
      <w:r>
        <w:rPr>
          <w:szCs w:val="28"/>
          <w:lang w:val="en-US"/>
        </w:rPr>
        <w:t>B</w:t>
      </w:r>
      <w:r>
        <w:rPr>
          <w:szCs w:val="28"/>
          <w:vertAlign w:val="subscript"/>
          <w:lang w:val="en-US"/>
        </w:rPr>
        <w:t>tor</w:t>
      </w:r>
      <w:r w:rsidRPr="00D407AC">
        <w:rPr>
          <w:szCs w:val="28"/>
          <w:lang w:val="en-US"/>
        </w:rPr>
        <w:t> = 2.3 </w:t>
      </w:r>
      <w:r>
        <w:rPr>
          <w:szCs w:val="28"/>
          <w:lang w:val="en-US"/>
        </w:rPr>
        <w:t>T</w:t>
      </w:r>
      <w:r w:rsidRPr="00D407AC">
        <w:rPr>
          <w:szCs w:val="28"/>
          <w:lang w:val="en-US"/>
        </w:rPr>
        <w:t xml:space="preserve">, </w:t>
      </w:r>
      <w:r>
        <w:rPr>
          <w:szCs w:val="28"/>
          <w:lang w:val="en-US"/>
        </w:rPr>
        <w:t>I</w:t>
      </w:r>
      <w:r>
        <w:rPr>
          <w:szCs w:val="28"/>
          <w:vertAlign w:val="subscript"/>
          <w:lang w:val="en-US"/>
        </w:rPr>
        <w:t>pl</w:t>
      </w:r>
      <w:r w:rsidRPr="00D407AC">
        <w:rPr>
          <w:szCs w:val="28"/>
          <w:lang w:val="en-US"/>
        </w:rPr>
        <w:t> = 220</w:t>
      </w:r>
      <w:r w:rsidRPr="00D407AC">
        <w:rPr>
          <w:szCs w:val="28"/>
          <w:lang w:val="en-US"/>
        </w:rPr>
        <w:noBreakHyphen/>
        <w:t>230 </w:t>
      </w:r>
      <w:r>
        <w:rPr>
          <w:szCs w:val="28"/>
          <w:lang w:val="en-US"/>
        </w:rPr>
        <w:t>kA</w:t>
      </w:r>
      <w:r w:rsidRPr="00D407AC">
        <w:rPr>
          <w:szCs w:val="28"/>
          <w:lang w:val="en-US"/>
        </w:rPr>
        <w:t xml:space="preserve">, </w:t>
      </w:r>
      <w:r>
        <w:rPr>
          <w:szCs w:val="28"/>
          <w:lang w:val="en-US"/>
        </w:rPr>
        <w:t>P</w:t>
      </w:r>
      <w:r w:rsidRPr="001E3B35">
        <w:rPr>
          <w:szCs w:val="28"/>
          <w:vertAlign w:val="subscript"/>
          <w:lang w:val="en-US"/>
        </w:rPr>
        <w:t>EC</w:t>
      </w:r>
      <w:r>
        <w:rPr>
          <w:szCs w:val="28"/>
          <w:vertAlign w:val="subscript"/>
          <w:lang w:val="en-US"/>
        </w:rPr>
        <w:t>RH</w:t>
      </w:r>
      <w:r w:rsidRPr="00D407AC">
        <w:rPr>
          <w:szCs w:val="28"/>
          <w:lang w:val="en-US"/>
        </w:rPr>
        <w:t> = 2.2 </w:t>
      </w:r>
      <w:r>
        <w:rPr>
          <w:szCs w:val="28"/>
          <w:lang w:val="en-US"/>
        </w:rPr>
        <w:t>MW. Was shown, that the square root dependency of frequency on temperature is valid not only for main GAM peak, but also for both satellites in a wide range of T</w:t>
      </w:r>
      <w:r>
        <w:rPr>
          <w:szCs w:val="28"/>
          <w:vertAlign w:val="subscript"/>
          <w:lang w:val="en-US"/>
        </w:rPr>
        <w:t>e</w:t>
      </w:r>
      <w:r>
        <w:rPr>
          <w:szCs w:val="28"/>
          <w:lang w:val="en-US"/>
        </w:rPr>
        <w:t xml:space="preserve"> = 0.9-2.0 keV. Further temperature raise leads to saturation of dependency </w:t>
      </w:r>
      <w:r>
        <w:rPr>
          <w:i/>
          <w:szCs w:val="28"/>
          <w:lang w:val="en-US"/>
        </w:rPr>
        <w:t>f </w:t>
      </w:r>
      <w:r w:rsidRPr="00E81C0E">
        <w:rPr>
          <w:szCs w:val="28"/>
          <w:lang w:val="en-US"/>
        </w:rPr>
        <w:t>(T</w:t>
      </w:r>
      <w:r w:rsidRPr="00E81C0E">
        <w:rPr>
          <w:szCs w:val="28"/>
          <w:vertAlign w:val="subscript"/>
          <w:lang w:val="en-US"/>
        </w:rPr>
        <w:t>e</w:t>
      </w:r>
      <w:r w:rsidRPr="00E81C0E">
        <w:rPr>
          <w:szCs w:val="28"/>
          <w:lang w:val="en-US"/>
        </w:rPr>
        <w:t>)</w:t>
      </w:r>
      <w:r>
        <w:rPr>
          <w:szCs w:val="28"/>
          <w:lang w:val="en-US"/>
        </w:rPr>
        <w:t>, and the electron temperature from which frequency saturates is individual for each peak. Comparison of experimental dependencies with predictions of two models – modified two-fluid MHD</w:t>
      </w:r>
      <w:r w:rsidRPr="00962F58">
        <w:rPr>
          <w:szCs w:val="28"/>
          <w:lang w:val="en-US"/>
        </w:rPr>
        <w:t xml:space="preserve"> </w:t>
      </w:r>
      <w:r w:rsidRPr="00962F58">
        <w:rPr>
          <w:lang w:val="en-US"/>
        </w:rPr>
        <w:t>(</w:t>
      </w:r>
      <m:oMath>
        <m:sSubSup>
          <m:sSubSupPr>
            <m:ctrlPr>
              <w:rPr>
                <w:rFonts w:ascii="Cambria Math" w:hAnsi="Cambria Math"/>
              </w:rPr>
            </m:ctrlPr>
          </m:sSubSupPr>
          <m:e>
            <m:r>
              <w:rPr>
                <w:rFonts w:ascii="Cambria Math" w:hAnsi="Cambria Math"/>
              </w:rPr>
              <m:t>f</m:t>
            </m:r>
          </m:e>
          <m:sub>
            <m:r>
              <w:rPr>
                <w:rFonts w:ascii="Cambria Math" w:hAnsi="Cambria Math"/>
              </w:rPr>
              <m:t>GAM</m:t>
            </m:r>
          </m:sub>
          <m:sup>
            <m:r>
              <w:rPr>
                <w:rFonts w:ascii="Cambria Math" w:hAnsi="Cambria Math"/>
              </w:rPr>
              <m:t>e</m:t>
            </m:r>
          </m:sup>
        </m:sSubSup>
        <m:r>
          <m:rPr>
            <m:sty m:val="p"/>
          </m:rPr>
          <w:rPr>
            <w:rFonts w:ascii="Cambria Math" w:eastAsiaTheme="minorEastAsia" w:hAnsi="Cambria Math"/>
            <w:lang w:val="en-US"/>
          </w:rPr>
          <m:t> = </m:t>
        </m:r>
        <m:f>
          <m:fPr>
            <m:ctrlPr>
              <w:rPr>
                <w:rFonts w:ascii="Cambria Math" w:hAnsi="Cambria Math"/>
              </w:rPr>
            </m:ctrlPr>
          </m:fPr>
          <m:num>
            <m:r>
              <m:rPr>
                <m:sty m:val="p"/>
              </m:rPr>
              <w:rPr>
                <w:rFonts w:ascii="Cambria Math" w:hAnsi="Cambria Math"/>
                <w:lang w:val="en-US"/>
              </w:rPr>
              <m:t>1</m:t>
            </m:r>
          </m:num>
          <m:den>
            <m:rad>
              <m:radPr>
                <m:degHide m:val="on"/>
                <m:ctrlPr>
                  <w:rPr>
                    <w:rFonts w:ascii="Cambria Math" w:hAnsi="Cambria Math"/>
                  </w:rPr>
                </m:ctrlPr>
              </m:radPr>
              <m:deg/>
              <m:e>
                <m:r>
                  <m:rPr>
                    <m:sty m:val="p"/>
                  </m:rPr>
                  <w:rPr>
                    <w:rFonts w:ascii="Cambria Math" w:hAnsi="Cambria Math"/>
                    <w:lang w:val="en-US"/>
                  </w:rPr>
                  <m:t>2</m:t>
                </m:r>
                <m:sSub>
                  <m:sSubPr>
                    <m:ctrlPr>
                      <w:rPr>
                        <w:rFonts w:ascii="Cambria Math" w:hAnsi="Cambria Math"/>
                      </w:rPr>
                    </m:ctrlPr>
                  </m:sSubPr>
                  <m:e>
                    <m:r>
                      <w:rPr>
                        <w:rFonts w:ascii="Cambria Math" w:hAnsi="Cambria Math"/>
                      </w:rPr>
                      <m:t>m</m:t>
                    </m:r>
                  </m:e>
                  <m:sub>
                    <m:r>
                      <w:rPr>
                        <w:rFonts w:ascii="Cambria Math" w:hAnsi="Cambria Math"/>
                      </w:rPr>
                      <m:t>i</m:t>
                    </m:r>
                  </m:sub>
                </m:sSub>
              </m:e>
            </m:rad>
            <m:r>
              <w:rPr>
                <w:rFonts w:ascii="Cambria Math" w:hAnsi="Cambria Math"/>
              </w:rPr>
              <m:t>πR</m:t>
            </m:r>
          </m:den>
        </m:f>
        <m:rad>
          <m:radPr>
            <m:degHide m:val="on"/>
            <m:ctrlPr>
              <w:rPr>
                <w:rFonts w:ascii="Cambria Math" w:hAnsi="Cambria Math"/>
              </w:rPr>
            </m:ctrlPr>
          </m:radPr>
          <m:deg/>
          <m:e>
            <m:sSub>
              <m:sSubPr>
                <m:ctrlPr>
                  <w:rPr>
                    <w:rFonts w:ascii="Cambria Math" w:hAnsi="Cambria Math"/>
                  </w:rPr>
                </m:ctrlPr>
              </m:sSubPr>
              <m:e>
                <m:r>
                  <w:rPr>
                    <w:rFonts w:ascii="Cambria Math" w:hAnsi="Cambria Math"/>
                  </w:rPr>
                  <m:t>T</m:t>
                </m:r>
              </m:e>
              <m:sub>
                <m:r>
                  <w:rPr>
                    <w:rFonts w:ascii="Cambria Math" w:hAnsi="Cambria Math"/>
                  </w:rPr>
                  <m:t>e</m:t>
                </m:r>
              </m:sub>
            </m:sSub>
          </m:e>
        </m:rad>
      </m:oMath>
      <w:r w:rsidRPr="00962F58">
        <w:rPr>
          <w:lang w:val="en-US"/>
        </w:rPr>
        <w:t xml:space="preserve">) </w:t>
      </w:r>
      <w:r>
        <w:rPr>
          <w:lang w:val="en-US"/>
        </w:rPr>
        <w:t>and single-fluid Winsor</w:t>
      </w:r>
      <w:r w:rsidRPr="00962F58">
        <w:rPr>
          <w:lang w:val="en-US"/>
        </w:rPr>
        <w:t xml:space="preserve"> (</w:t>
      </w:r>
      <m:oMath>
        <m:sSubSup>
          <m:sSubSupPr>
            <m:ctrlPr>
              <w:rPr>
                <w:rFonts w:ascii="Cambria Math" w:hAnsi="Cambria Math"/>
              </w:rPr>
            </m:ctrlPr>
          </m:sSubSupPr>
          <m:e>
            <m:r>
              <w:rPr>
                <w:rFonts w:ascii="Cambria Math" w:hAnsi="Cambria Math"/>
              </w:rPr>
              <m:t>f</m:t>
            </m:r>
          </m:e>
          <m:sub>
            <m:r>
              <w:rPr>
                <w:rFonts w:ascii="Cambria Math" w:hAnsi="Cambria Math"/>
              </w:rPr>
              <m:t>GAM</m:t>
            </m:r>
          </m:sub>
          <m:sup>
            <m:r>
              <w:rPr>
                <w:rFonts w:ascii="Cambria Math" w:hAnsi="Cambria Math"/>
              </w:rPr>
              <m:t>W</m:t>
            </m:r>
          </m:sup>
        </m:sSubSup>
        <m:r>
          <m:rPr>
            <m:sty m:val="p"/>
          </m:rPr>
          <w:rPr>
            <w:rFonts w:ascii="Cambria Math" w:hAnsi="Cambria Math"/>
            <w:lang w:val="en-US"/>
          </w:rPr>
          <m:t xml:space="preserve">  ≅ </m:t>
        </m:r>
        <m:rad>
          <m:radPr>
            <m:degHide m:val="on"/>
            <m:ctrlPr>
              <w:rPr>
                <w:rFonts w:ascii="Cambria Math" w:hAnsi="Cambria Math"/>
              </w:rPr>
            </m:ctrlPr>
          </m:radPr>
          <m:deg/>
          <m:e>
            <m:f>
              <m:fPr>
                <m:ctrlPr>
                  <w:rPr>
                    <w:rFonts w:ascii="Cambria Math" w:hAnsi="Cambria Math"/>
                  </w:rPr>
                </m:ctrlPr>
              </m:fPr>
              <m:num>
                <m:r>
                  <w:rPr>
                    <w:rFonts w:ascii="Cambria Math" w:hAnsi="Cambria Math"/>
                  </w:rPr>
                  <m:t>γ</m:t>
                </m:r>
                <m:sSub>
                  <m:sSubPr>
                    <m:ctrlPr>
                      <w:rPr>
                        <w:rFonts w:ascii="Cambria Math" w:hAnsi="Cambria Math"/>
                        <w:i/>
                        <w:iCs/>
                      </w:rPr>
                    </m:ctrlPr>
                  </m:sSubPr>
                  <m:e>
                    <m:r>
                      <w:rPr>
                        <w:rFonts w:ascii="Cambria Math" w:hAnsi="Cambria Math"/>
                        <w:lang w:val="en-US"/>
                      </w:rPr>
                      <m:t>T</m:t>
                    </m:r>
                  </m:e>
                  <m:sub>
                    <m:r>
                      <w:rPr>
                        <w:rFonts w:ascii="Cambria Math" w:hAnsi="Cambria Math"/>
                      </w:rPr>
                      <m:t>e</m:t>
                    </m:r>
                  </m:sub>
                </m:sSub>
              </m:num>
              <m:den>
                <m:r>
                  <w:rPr>
                    <w:rFonts w:ascii="Cambria Math" w:hAnsi="Cambria Math"/>
                    <w:lang w:val="en-US"/>
                  </w:rPr>
                  <m:t>2</m:t>
                </m:r>
                <m:sSub>
                  <m:sSubPr>
                    <m:ctrlPr>
                      <w:rPr>
                        <w:rFonts w:ascii="Cambria Math" w:hAnsi="Cambria Math"/>
                      </w:rPr>
                    </m:ctrlPr>
                  </m:sSubPr>
                  <m:e>
                    <m:r>
                      <w:rPr>
                        <w:rFonts w:ascii="Cambria Math" w:hAnsi="Cambria Math"/>
                        <w:lang w:val="en-US"/>
                      </w:rPr>
                      <m:t>m</m:t>
                    </m:r>
                  </m:e>
                  <m:sub>
                    <m:r>
                      <w:rPr>
                        <w:rFonts w:ascii="Cambria Math" w:hAnsi="Cambria Math"/>
                      </w:rPr>
                      <m:t>i</m:t>
                    </m:r>
                  </m:sub>
                </m:sSub>
              </m:den>
            </m:f>
          </m:e>
        </m:rad>
        <m:r>
          <m:rPr>
            <m:sty m:val="p"/>
          </m:rPr>
          <w:rPr>
            <w:rFonts w:ascii="Cambria Math" w:hAnsi="Cambria Math"/>
            <w:lang w:val="en-US"/>
          </w:rPr>
          <m:t>∙</m:t>
        </m:r>
        <m:f>
          <m:fPr>
            <m:ctrlPr>
              <w:rPr>
                <w:rFonts w:ascii="Cambria Math" w:hAnsi="Cambria Math"/>
              </w:rPr>
            </m:ctrlPr>
          </m:fPr>
          <m:num>
            <m:r>
              <m:rPr>
                <m:sty m:val="p"/>
              </m:rPr>
              <w:rPr>
                <w:rFonts w:ascii="Cambria Math" w:hAnsi="Cambria Math"/>
                <w:lang w:val="en-US"/>
              </w:rPr>
              <m:t>1</m:t>
            </m:r>
          </m:num>
          <m:den>
            <m:r>
              <w:rPr>
                <w:rFonts w:ascii="Cambria Math" w:hAnsi="Cambria Math"/>
              </w:rPr>
              <m:t>πR</m:t>
            </m:r>
          </m:den>
        </m:f>
      </m:oMath>
      <w:r w:rsidRPr="00962F58">
        <w:rPr>
          <w:lang w:val="en-US"/>
        </w:rPr>
        <w:t>)</w:t>
      </w:r>
      <w:r>
        <w:rPr>
          <w:lang w:val="en-US"/>
        </w:rPr>
        <w:t xml:space="preserve"> with varied from 1 to 5/3 adiabatic constant γ – showed that selected models do not predict the saturation of GAM and its satellites frequency.</w:t>
      </w:r>
    </w:p>
    <w:p w:rsidR="0022059E" w:rsidRPr="0022059E" w:rsidRDefault="0022059E" w:rsidP="0022059E">
      <w:pPr>
        <w:pStyle w:val="Zv-bodyreport"/>
        <w:spacing w:line="238" w:lineRule="auto"/>
        <w:rPr>
          <w:szCs w:val="28"/>
          <w:lang w:val="en-US"/>
        </w:rPr>
      </w:pPr>
    </w:p>
    <w:p w:rsidR="0022059E" w:rsidRDefault="0022059E" w:rsidP="0022059E">
      <w:pPr>
        <w:pStyle w:val="Zv-TitleReferences-en"/>
        <w:rPr>
          <w:lang w:val="en-US"/>
        </w:rPr>
      </w:pPr>
      <w:bookmarkStart w:id="0" w:name="_Hlk118382226"/>
      <w:r>
        <w:rPr>
          <w:lang w:val="en-US"/>
        </w:rPr>
        <w:t>References</w:t>
      </w:r>
    </w:p>
    <w:p w:rsidR="0022059E" w:rsidRPr="00B360A1" w:rsidRDefault="0022059E" w:rsidP="0022059E">
      <w:pPr>
        <w:pStyle w:val="Zv-References-ru"/>
        <w:numPr>
          <w:ilvl w:val="0"/>
          <w:numId w:val="1"/>
        </w:numPr>
        <w:spacing w:line="238" w:lineRule="auto"/>
      </w:pPr>
      <w:r w:rsidRPr="00B360A1">
        <w:t>Крохалев О.Д., Мельников</w:t>
      </w:r>
      <w:r>
        <w:t> </w:t>
      </w:r>
      <w:r w:rsidRPr="00B360A1">
        <w:t>А.В. // Труды 63 всероссийской научной конференции МФТИ – 2020 – стр. 215-217</w:t>
      </w:r>
    </w:p>
    <w:p w:rsidR="0022059E" w:rsidRPr="0022059E" w:rsidRDefault="0022059E" w:rsidP="0022059E">
      <w:pPr>
        <w:pStyle w:val="Zv-References-ru"/>
        <w:rPr>
          <w:lang w:val="en-US"/>
        </w:rPr>
      </w:pPr>
      <w:r w:rsidRPr="0022059E">
        <w:rPr>
          <w:lang w:val="en-US"/>
        </w:rPr>
        <w:t>Krokhalev O.D. et al // 49 Zvenigorod international conference on plasma physics and controlled fusion, abstract series – ISBN 978-5-6042115-6-4 – 2022</w:t>
      </w:r>
    </w:p>
    <w:p w:rsidR="0022059E" w:rsidRPr="0022059E" w:rsidRDefault="0022059E" w:rsidP="0022059E">
      <w:pPr>
        <w:pStyle w:val="Zv-References-ru"/>
        <w:rPr>
          <w:lang w:val="en-US"/>
        </w:rPr>
      </w:pPr>
      <w:bookmarkStart w:id="1" w:name="_Hlk119057920"/>
      <w:r w:rsidRPr="0022059E">
        <w:rPr>
          <w:lang w:val="en-US"/>
        </w:rPr>
        <w:t>Melnikov A.V. et al. // Nuclear Fusion 2017 57 (6) 072004.</w:t>
      </w:r>
      <w:bookmarkEnd w:id="0"/>
      <w:bookmarkEnd w:id="1"/>
    </w:p>
    <w:sectPr w:rsidR="0022059E" w:rsidRPr="0022059E"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02" w:rsidRDefault="00323702">
      <w:r>
        <w:separator/>
      </w:r>
    </w:p>
  </w:endnote>
  <w:endnote w:type="continuationSeparator" w:id="0">
    <w:p w:rsidR="00323702" w:rsidRDefault="00323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4A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4A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318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02" w:rsidRDefault="00323702">
      <w:r>
        <w:separator/>
      </w:r>
    </w:p>
  </w:footnote>
  <w:footnote w:type="continuationSeparator" w:id="0">
    <w:p w:rsidR="00323702" w:rsidRDefault="00323702">
      <w:r>
        <w:continuationSeparator/>
      </w:r>
    </w:p>
  </w:footnote>
  <w:footnote w:id="1">
    <w:p w:rsidR="00573181" w:rsidRPr="00573181" w:rsidRDefault="00573181">
      <w:pPr>
        <w:pStyle w:val="a8"/>
        <w:rPr>
          <w:lang w:val="en-US"/>
        </w:rPr>
      </w:pPr>
      <w:r w:rsidRPr="00573181">
        <w:rPr>
          <w:rStyle w:val="aa"/>
          <w:lang w:val="en-US"/>
        </w:rPr>
        <w:t>*)</w:t>
      </w:r>
      <w:r w:rsidRPr="00573181">
        <w:rPr>
          <w:lang w:val="en-US"/>
        </w:rPr>
        <w:t xml:space="preserve"> </w:t>
      </w:r>
      <w:hyperlink r:id="rId1" w:history="1">
        <w:r w:rsidRPr="0057318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24A4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0223"/>
    <w:rsid w:val="00043701"/>
    <w:rsid w:val="00081366"/>
    <w:rsid w:val="000C657D"/>
    <w:rsid w:val="000C7078"/>
    <w:rsid w:val="000D76E9"/>
    <w:rsid w:val="000E495B"/>
    <w:rsid w:val="001C0CCB"/>
    <w:rsid w:val="00205708"/>
    <w:rsid w:val="0022059E"/>
    <w:rsid w:val="00220629"/>
    <w:rsid w:val="0023083F"/>
    <w:rsid w:val="00247225"/>
    <w:rsid w:val="00323702"/>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181"/>
    <w:rsid w:val="00573BAD"/>
    <w:rsid w:val="0058676C"/>
    <w:rsid w:val="005F0746"/>
    <w:rsid w:val="005F764D"/>
    <w:rsid w:val="006038C3"/>
    <w:rsid w:val="00654A7B"/>
    <w:rsid w:val="006B5B24"/>
    <w:rsid w:val="00724A4E"/>
    <w:rsid w:val="00732A2E"/>
    <w:rsid w:val="007B09C9"/>
    <w:rsid w:val="007B6378"/>
    <w:rsid w:val="007E06CE"/>
    <w:rsid w:val="00802D35"/>
    <w:rsid w:val="008306AF"/>
    <w:rsid w:val="008520F9"/>
    <w:rsid w:val="00871582"/>
    <w:rsid w:val="008850EF"/>
    <w:rsid w:val="008F1AC8"/>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30223"/>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59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22059E"/>
    <w:rPr>
      <w:color w:val="0000FF" w:themeColor="hyperlink"/>
      <w:u w:val="single"/>
    </w:rPr>
  </w:style>
  <w:style w:type="paragraph" w:styleId="a8">
    <w:name w:val="footnote text"/>
    <w:basedOn w:val="a"/>
    <w:link w:val="a9"/>
    <w:rsid w:val="00573181"/>
    <w:rPr>
      <w:sz w:val="20"/>
      <w:szCs w:val="20"/>
    </w:rPr>
  </w:style>
  <w:style w:type="character" w:customStyle="1" w:styleId="a9">
    <w:name w:val="Текст сноски Знак"/>
    <w:basedOn w:val="a0"/>
    <w:link w:val="a8"/>
    <w:rsid w:val="00573181"/>
  </w:style>
  <w:style w:type="character" w:styleId="aa">
    <w:name w:val="footnote reference"/>
    <w:basedOn w:val="a0"/>
    <w:rsid w:val="0057318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ipt.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V-Krokhal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3A702-9AA9-4B04-920E-909FE14C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12</TotalTime>
  <Pages>1</Pages>
  <Words>345</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 DEPENDENCY OF THE GAM AND ITS SATELLITES FREQUENCY IN T-10 TOKAMAK PLASMAS</dc:title>
  <dc:creator/>
  <cp:lastModifiedBy>Сатунин</cp:lastModifiedBy>
  <cp:revision>3</cp:revision>
  <cp:lastPrinted>1601-01-01T00:00:00Z</cp:lastPrinted>
  <dcterms:created xsi:type="dcterms:W3CDTF">2023-02-23T11:30:00Z</dcterms:created>
  <dcterms:modified xsi:type="dcterms:W3CDTF">2023-05-11T12:01:00Z</dcterms:modified>
</cp:coreProperties>
</file>