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FF8" w:rsidRPr="000E117F" w:rsidRDefault="00AD54EE" w:rsidP="00CF7FF8">
      <w:pPr>
        <w:pStyle w:val="Zv-Titlereport"/>
        <w:rPr>
          <w:lang w:val="en-US"/>
        </w:rPr>
      </w:pPr>
      <w:r w:rsidRPr="00AD54E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AD54EE" w:rsidRPr="00824DF5" w:rsidRDefault="00AD54EE" w:rsidP="003B6459">
                  <w:pPr>
                    <w:spacing w:before="80"/>
                    <w:rPr>
                      <w:sz w:val="22"/>
                      <w:szCs w:val="22"/>
                    </w:rPr>
                  </w:pPr>
                  <w:r w:rsidRPr="00824DF5">
                    <w:rPr>
                      <w:sz w:val="22"/>
                      <w:szCs w:val="22"/>
                    </w:rPr>
                    <w:t xml:space="preserve">DOI: </w:t>
                  </w:r>
                  <w:r w:rsidRPr="00AD54EE">
                    <w:rPr>
                      <w:sz w:val="22"/>
                      <w:szCs w:val="22"/>
                    </w:rPr>
                    <w:t>10.34854/ICPAF.2023.50.2023.1.1.047</w:t>
                  </w:r>
                </w:p>
              </w:txbxContent>
            </v:textbox>
            <w10:anchorlock/>
          </v:shape>
        </w:pict>
      </w:r>
      <w:r w:rsidR="00CF7FF8" w:rsidRPr="000E117F">
        <w:rPr>
          <w:lang w:val="en-US"/>
        </w:rPr>
        <w:t>Analysis of Globus-M2 tokamak plasma heating experiments using diamagnetic measurements</w:t>
      </w:r>
      <w:r>
        <w:rPr>
          <w:lang w:val="en-US"/>
        </w:rPr>
        <w:t xml:space="preserve"> </w:t>
      </w:r>
      <w:r>
        <w:rPr>
          <w:rStyle w:val="aa"/>
          <w:lang w:val="en-US"/>
        </w:rPr>
        <w:footnoteReference w:customMarkFollows="1" w:id="1"/>
        <w:t>*)</w:t>
      </w:r>
    </w:p>
    <w:p w:rsidR="00CF7FF8" w:rsidRPr="00A62DEC" w:rsidRDefault="00CF7FF8" w:rsidP="00CF7FF8">
      <w:pPr>
        <w:pStyle w:val="Zv-Author"/>
        <w:rPr>
          <w:lang w:val="en-US"/>
        </w:rPr>
      </w:pPr>
      <w:r w:rsidRPr="000E117F">
        <w:rPr>
          <w:vertAlign w:val="superscript"/>
          <w:lang w:val="en-US"/>
        </w:rPr>
        <w:t>1</w:t>
      </w:r>
      <w:r w:rsidRPr="000E117F">
        <w:rPr>
          <w:lang w:val="en-US"/>
        </w:rPr>
        <w:t>Tkachenko</w:t>
      </w:r>
      <w:r w:rsidRPr="007C3FD8">
        <w:rPr>
          <w:lang w:val="en-US"/>
        </w:rPr>
        <w:t xml:space="preserve"> </w:t>
      </w:r>
      <w:r w:rsidRPr="000E117F">
        <w:rPr>
          <w:lang w:val="en-US"/>
        </w:rPr>
        <w:t>E.E.</w:t>
      </w:r>
      <w:r>
        <w:rPr>
          <w:lang w:val="en-US"/>
        </w:rPr>
        <w:t xml:space="preserve">, </w:t>
      </w:r>
      <w:r>
        <w:rPr>
          <w:vertAlign w:val="superscript"/>
          <w:lang w:val="en-US"/>
        </w:rPr>
        <w:t>1</w:t>
      </w:r>
      <w:r>
        <w:rPr>
          <w:lang w:val="en-US"/>
        </w:rPr>
        <w:t>Sakharov</w:t>
      </w:r>
      <w:r w:rsidRPr="007C3FD8">
        <w:rPr>
          <w:lang w:val="en-US"/>
        </w:rPr>
        <w:t xml:space="preserve"> </w:t>
      </w:r>
      <w:r>
        <w:rPr>
          <w:lang w:val="en-US"/>
        </w:rPr>
        <w:t xml:space="preserve">N.V., </w:t>
      </w:r>
      <w:r>
        <w:rPr>
          <w:vertAlign w:val="superscript"/>
          <w:lang w:val="en-US"/>
        </w:rPr>
        <w:t>1</w:t>
      </w:r>
      <w:r>
        <w:rPr>
          <w:lang w:val="en-US"/>
        </w:rPr>
        <w:t>Kurskiev</w:t>
      </w:r>
      <w:r w:rsidRPr="007C3FD8">
        <w:rPr>
          <w:lang w:val="en-US"/>
        </w:rPr>
        <w:t xml:space="preserve"> </w:t>
      </w:r>
      <w:r>
        <w:rPr>
          <w:lang w:val="en-US"/>
        </w:rPr>
        <w:t>G.S.</w:t>
      </w:r>
      <w:r w:rsidRPr="000E117F">
        <w:rPr>
          <w:lang w:val="en-US"/>
        </w:rPr>
        <w:t xml:space="preserve">, </w:t>
      </w:r>
      <w:r>
        <w:rPr>
          <w:vertAlign w:val="superscript"/>
          <w:lang w:val="en-US"/>
        </w:rPr>
        <w:t>1</w:t>
      </w:r>
      <w:r>
        <w:rPr>
          <w:lang w:val="en-US"/>
        </w:rPr>
        <w:t>Zhiltsov</w:t>
      </w:r>
      <w:r w:rsidRPr="007C3FD8">
        <w:rPr>
          <w:lang w:val="en-US"/>
        </w:rPr>
        <w:t xml:space="preserve"> </w:t>
      </w:r>
      <w:r>
        <w:rPr>
          <w:lang w:val="en-US"/>
        </w:rPr>
        <w:t>N.S.</w:t>
      </w:r>
      <w:r w:rsidRPr="000E117F">
        <w:rPr>
          <w:lang w:val="en-US"/>
        </w:rPr>
        <w:t xml:space="preserve">, </w:t>
      </w:r>
      <w:r>
        <w:rPr>
          <w:vertAlign w:val="superscript"/>
          <w:lang w:val="en-US"/>
        </w:rPr>
        <w:t>1</w:t>
      </w:r>
      <w:r w:rsidRPr="000E117F">
        <w:rPr>
          <w:lang w:val="en-US"/>
        </w:rPr>
        <w:t>Miroshnikov</w:t>
      </w:r>
      <w:r w:rsidRPr="007C3FD8">
        <w:rPr>
          <w:lang w:val="en-US"/>
        </w:rPr>
        <w:t xml:space="preserve"> </w:t>
      </w:r>
      <w:r w:rsidRPr="000E117F">
        <w:rPr>
          <w:lang w:val="en-US"/>
        </w:rPr>
        <w:t xml:space="preserve">I.V., </w:t>
      </w:r>
      <w:r>
        <w:rPr>
          <w:vertAlign w:val="superscript"/>
          <w:lang w:val="en-US"/>
        </w:rPr>
        <w:t>1</w:t>
      </w:r>
      <w:r>
        <w:rPr>
          <w:lang w:val="en-US"/>
        </w:rPr>
        <w:t>Bakharev</w:t>
      </w:r>
      <w:r w:rsidRPr="00BA4914">
        <w:rPr>
          <w:lang w:val="en-US"/>
        </w:rPr>
        <w:t xml:space="preserve"> </w:t>
      </w:r>
      <w:r>
        <w:rPr>
          <w:lang w:val="en-US"/>
        </w:rPr>
        <w:t xml:space="preserve">N.N., </w:t>
      </w:r>
      <w:r>
        <w:rPr>
          <w:vertAlign w:val="superscript"/>
          <w:lang w:val="en-US"/>
        </w:rPr>
        <w:t>2</w:t>
      </w:r>
      <w:r>
        <w:rPr>
          <w:lang w:val="en-US"/>
        </w:rPr>
        <w:t>Kavin</w:t>
      </w:r>
      <w:r w:rsidRPr="00BA4914">
        <w:rPr>
          <w:lang w:val="en-US"/>
        </w:rPr>
        <w:t xml:space="preserve"> </w:t>
      </w:r>
      <w:r>
        <w:rPr>
          <w:lang w:val="en-US"/>
        </w:rPr>
        <w:t xml:space="preserve">A.A., </w:t>
      </w:r>
      <w:r w:rsidRPr="00BA4914">
        <w:rPr>
          <w:vertAlign w:val="superscript"/>
          <w:lang w:val="en-US"/>
        </w:rPr>
        <w:t>1</w:t>
      </w:r>
      <w:r w:rsidRPr="009B7413">
        <w:rPr>
          <w:lang w:val="en-US"/>
        </w:rPr>
        <w:t>Kiselev</w:t>
      </w:r>
      <w:r w:rsidRPr="00BA4914">
        <w:rPr>
          <w:lang w:val="en-US"/>
        </w:rPr>
        <w:t xml:space="preserve"> </w:t>
      </w:r>
      <w:r>
        <w:rPr>
          <w:lang w:val="en-US"/>
        </w:rPr>
        <w:t xml:space="preserve">E.O., </w:t>
      </w:r>
      <w:r w:rsidRPr="009B7413">
        <w:rPr>
          <w:vertAlign w:val="superscript"/>
          <w:lang w:val="en-US"/>
        </w:rPr>
        <w:t>1</w:t>
      </w:r>
      <w:r w:rsidRPr="009B7413">
        <w:rPr>
          <w:lang w:val="en-US"/>
        </w:rPr>
        <w:t>Khromov</w:t>
      </w:r>
      <w:r w:rsidRPr="00BA4914">
        <w:rPr>
          <w:lang w:val="en-US"/>
        </w:rPr>
        <w:t xml:space="preserve"> </w:t>
      </w:r>
      <w:r>
        <w:rPr>
          <w:lang w:val="en-US"/>
        </w:rPr>
        <w:t xml:space="preserve">N.A., </w:t>
      </w:r>
      <w:r>
        <w:rPr>
          <w:vertAlign w:val="superscript"/>
          <w:lang w:val="en-US"/>
        </w:rPr>
        <w:t>2</w:t>
      </w:r>
      <w:r w:rsidRPr="000E117F">
        <w:rPr>
          <w:lang w:val="en-US"/>
        </w:rPr>
        <w:t>Lobanov</w:t>
      </w:r>
      <w:r w:rsidRPr="00BA4914">
        <w:rPr>
          <w:lang w:val="en-US"/>
        </w:rPr>
        <w:t xml:space="preserve"> </w:t>
      </w:r>
      <w:r w:rsidRPr="000E117F">
        <w:rPr>
          <w:lang w:val="en-US"/>
        </w:rPr>
        <w:t>K.M.</w:t>
      </w:r>
      <w:r w:rsidRPr="009B7413">
        <w:rPr>
          <w:lang w:val="en-US"/>
        </w:rPr>
        <w:t>,</w:t>
      </w:r>
      <w:r>
        <w:rPr>
          <w:lang w:val="en-US"/>
        </w:rPr>
        <w:t xml:space="preserve"> </w:t>
      </w:r>
      <w:r w:rsidR="00B105DD">
        <w:rPr>
          <w:vertAlign w:val="superscript"/>
          <w:lang w:val="en-US"/>
        </w:rPr>
        <w:t>1</w:t>
      </w:r>
      <w:r>
        <w:rPr>
          <w:lang w:val="en-US"/>
        </w:rPr>
        <w:t xml:space="preserve">Minaev V.B., </w:t>
      </w:r>
      <w:r>
        <w:rPr>
          <w:vertAlign w:val="superscript"/>
          <w:lang w:val="en-US"/>
        </w:rPr>
        <w:t>2</w:t>
      </w:r>
      <w:r w:rsidRPr="000E117F">
        <w:rPr>
          <w:lang w:val="en-US"/>
        </w:rPr>
        <w:t>Mineev</w:t>
      </w:r>
      <w:r w:rsidRPr="00BA4914">
        <w:rPr>
          <w:lang w:val="en-US"/>
        </w:rPr>
        <w:t xml:space="preserve"> </w:t>
      </w:r>
      <w:r w:rsidRPr="000E117F">
        <w:rPr>
          <w:lang w:val="en-US"/>
        </w:rPr>
        <w:t>A.B.,</w:t>
      </w:r>
      <w:r>
        <w:rPr>
          <w:lang w:val="en-US"/>
        </w:rPr>
        <w:t xml:space="preserve"> </w:t>
      </w:r>
      <w:r w:rsidRPr="000E117F">
        <w:rPr>
          <w:vertAlign w:val="superscript"/>
          <w:lang w:val="en-US"/>
        </w:rPr>
        <w:t>1</w:t>
      </w:r>
      <w:r w:rsidRPr="000E117F">
        <w:rPr>
          <w:lang w:val="en-US"/>
        </w:rPr>
        <w:t>Novokhatskii</w:t>
      </w:r>
      <w:r w:rsidRPr="00BA4914">
        <w:rPr>
          <w:lang w:val="en-US"/>
        </w:rPr>
        <w:t xml:space="preserve"> </w:t>
      </w:r>
      <w:r w:rsidRPr="000E117F">
        <w:rPr>
          <w:lang w:val="en-US"/>
        </w:rPr>
        <w:t xml:space="preserve">A.N., </w:t>
      </w:r>
      <w:r>
        <w:rPr>
          <w:vertAlign w:val="superscript"/>
          <w:lang w:val="en-US"/>
        </w:rPr>
        <w:t>1</w:t>
      </w:r>
      <w:r>
        <w:rPr>
          <w:lang w:val="en-US"/>
        </w:rPr>
        <w:t>Petrov</w:t>
      </w:r>
      <w:r w:rsidRPr="00BA4914">
        <w:rPr>
          <w:lang w:val="en-US"/>
        </w:rPr>
        <w:t xml:space="preserve"> </w:t>
      </w:r>
      <w:r w:rsidRPr="009B7413">
        <w:rPr>
          <w:lang w:val="en-US"/>
        </w:rPr>
        <w:t>Yu</w:t>
      </w:r>
      <w:r>
        <w:rPr>
          <w:lang w:val="en-US"/>
        </w:rPr>
        <w:t xml:space="preserve">.V., </w:t>
      </w:r>
      <w:r w:rsidRPr="000E117F">
        <w:rPr>
          <w:vertAlign w:val="superscript"/>
          <w:lang w:val="en-US"/>
        </w:rPr>
        <w:t>1</w:t>
      </w:r>
      <w:r w:rsidRPr="000E117F">
        <w:rPr>
          <w:lang w:val="en-US"/>
        </w:rPr>
        <w:t>Solokha</w:t>
      </w:r>
      <w:r w:rsidRPr="00BA4914">
        <w:rPr>
          <w:lang w:val="en-US"/>
        </w:rPr>
        <w:t xml:space="preserve"> </w:t>
      </w:r>
      <w:r w:rsidRPr="000E117F">
        <w:rPr>
          <w:lang w:val="en-US"/>
        </w:rPr>
        <w:t>V.V.,</w:t>
      </w:r>
      <w:r>
        <w:rPr>
          <w:lang w:val="en-US"/>
        </w:rPr>
        <w:t xml:space="preserve"> </w:t>
      </w:r>
      <w:r>
        <w:rPr>
          <w:vertAlign w:val="superscript"/>
          <w:lang w:val="en-US"/>
        </w:rPr>
        <w:t>1</w:t>
      </w:r>
      <w:r w:rsidR="000A23FC" w:rsidRPr="000A23FC">
        <w:rPr>
          <w:lang w:val="en-US"/>
        </w:rPr>
        <w:t>Shchegolev P.B.</w:t>
      </w:r>
      <w:r>
        <w:rPr>
          <w:lang w:val="en-US"/>
        </w:rPr>
        <w:t>,</w:t>
      </w:r>
      <w:r w:rsidRPr="000E117F">
        <w:rPr>
          <w:lang w:val="en-US"/>
        </w:rPr>
        <w:t xml:space="preserve"> </w:t>
      </w:r>
      <w:r>
        <w:rPr>
          <w:vertAlign w:val="superscript"/>
          <w:lang w:val="en-US"/>
        </w:rPr>
        <w:t>1</w:t>
      </w:r>
      <w:r>
        <w:rPr>
          <w:lang w:val="en-US"/>
        </w:rPr>
        <w:t>Telnova</w:t>
      </w:r>
      <w:r w:rsidRPr="00BA4914">
        <w:rPr>
          <w:lang w:val="en-US"/>
        </w:rPr>
        <w:t xml:space="preserve"> </w:t>
      </w:r>
      <w:r>
        <w:rPr>
          <w:lang w:val="en-US"/>
        </w:rPr>
        <w:t xml:space="preserve">A.Yu., </w:t>
      </w:r>
      <w:r w:rsidRPr="000E117F">
        <w:rPr>
          <w:vertAlign w:val="superscript"/>
          <w:lang w:val="en-US"/>
        </w:rPr>
        <w:t>1</w:t>
      </w:r>
      <w:r w:rsidRPr="000E117F">
        <w:rPr>
          <w:lang w:val="en-US"/>
        </w:rPr>
        <w:t>Tukhmeneva</w:t>
      </w:r>
      <w:r w:rsidRPr="00BA4914">
        <w:rPr>
          <w:lang w:val="en-US"/>
        </w:rPr>
        <w:t xml:space="preserve"> </w:t>
      </w:r>
      <w:r w:rsidRPr="000E117F">
        <w:rPr>
          <w:lang w:val="en-US"/>
        </w:rPr>
        <w:t>E.A.</w:t>
      </w:r>
    </w:p>
    <w:p w:rsidR="00CF7FF8" w:rsidRPr="00A62DEC" w:rsidRDefault="00CF7FF8" w:rsidP="00CF7FF8">
      <w:pPr>
        <w:pStyle w:val="Zv-Organization"/>
        <w:rPr>
          <w:lang w:val="en-US"/>
        </w:rPr>
      </w:pPr>
      <w:r>
        <w:rPr>
          <w:vertAlign w:val="superscript"/>
          <w:lang w:val="en-US"/>
        </w:rPr>
        <w:t>1</w:t>
      </w:r>
      <w:r w:rsidRPr="00A62DEC">
        <w:rPr>
          <w:lang w:val="en-US"/>
        </w:rPr>
        <w:t>Ioffe Institute, St. Petersburg, Russia</w:t>
      </w:r>
      <w:r>
        <w:rPr>
          <w:lang w:val="en-US"/>
        </w:rPr>
        <w:t xml:space="preserve">, </w:t>
      </w:r>
      <w:hyperlink r:id="rId8" w:history="1">
        <w:r w:rsidRPr="00B57816">
          <w:rPr>
            <w:rStyle w:val="a7"/>
            <w:lang w:val="en-US"/>
          </w:rPr>
          <w:t>erina</w:t>
        </w:r>
        <w:r w:rsidRPr="00AA11D2">
          <w:rPr>
            <w:rStyle w:val="a7"/>
            <w:lang w:val="en-US"/>
          </w:rPr>
          <w:t>.</w:t>
        </w:r>
        <w:r w:rsidRPr="00B57816">
          <w:rPr>
            <w:rStyle w:val="a7"/>
            <w:lang w:val="en-US"/>
          </w:rPr>
          <w:t>tkachenko</w:t>
        </w:r>
        <w:r w:rsidRPr="00AA11D2">
          <w:rPr>
            <w:rStyle w:val="a7"/>
            <w:lang w:val="en-US"/>
          </w:rPr>
          <w:t>@</w:t>
        </w:r>
        <w:r w:rsidRPr="00B57816">
          <w:rPr>
            <w:rStyle w:val="a7"/>
            <w:lang w:val="en-US"/>
          </w:rPr>
          <w:t>yandex</w:t>
        </w:r>
        <w:r w:rsidRPr="00AA11D2">
          <w:rPr>
            <w:rStyle w:val="a7"/>
            <w:lang w:val="en-US"/>
          </w:rPr>
          <w:t>.</w:t>
        </w:r>
        <w:r w:rsidRPr="00B57816">
          <w:rPr>
            <w:rStyle w:val="a7"/>
            <w:lang w:val="en-US"/>
          </w:rPr>
          <w:t>ru</w:t>
        </w:r>
      </w:hyperlink>
      <w:r>
        <w:rPr>
          <w:lang w:val="en-US"/>
        </w:rPr>
        <w:br/>
      </w:r>
      <w:r>
        <w:rPr>
          <w:vertAlign w:val="superscript"/>
          <w:lang w:val="en-US"/>
        </w:rPr>
        <w:t>2</w:t>
      </w:r>
      <w:r w:rsidRPr="00A62DEC">
        <w:rPr>
          <w:lang w:val="en-US"/>
        </w:rPr>
        <w:t>JSC «NIIEFA», St. Petersburg, Russia</w:t>
      </w:r>
    </w:p>
    <w:p w:rsidR="00CF7FF8" w:rsidRPr="009961B3" w:rsidRDefault="00CF7FF8" w:rsidP="00CF7FF8">
      <w:pPr>
        <w:pStyle w:val="Zv-bodyreport"/>
        <w:rPr>
          <w:lang w:val="en-US"/>
        </w:rPr>
      </w:pPr>
      <w:r w:rsidRPr="007650B6">
        <w:rPr>
          <w:lang w:val="en-US"/>
        </w:rPr>
        <w:t xml:space="preserve"> </w:t>
      </w:r>
      <w:r w:rsidRPr="009961B3">
        <w:rPr>
          <w:lang w:val="en-US"/>
        </w:rPr>
        <w:t>The work presents an analysis of the estimate of the thermal energy stored in plasma (W</w:t>
      </w:r>
      <w:r w:rsidRPr="009961B3">
        <w:rPr>
          <w:vertAlign w:val="subscript"/>
          <w:lang w:val="en-US"/>
        </w:rPr>
        <w:t>P</w:t>
      </w:r>
      <w:r w:rsidRPr="009961B3">
        <w:rPr>
          <w:lang w:val="en-US"/>
        </w:rPr>
        <w:t xml:space="preserve">). Discharges with the toroidal magnetic field up to 0.9 T and the plasma current up to 0.4 MA were studied in regimes with auxiliary heating using neutral beam injection (NBI). Two injectors were used, with the particle energies </w:t>
      </w:r>
      <m:oMath>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NBI</m:t>
            </m:r>
          </m:sub>
          <m:sup>
            <m:r>
              <w:rPr>
                <w:rFonts w:ascii="Cambria Math" w:hAnsi="Cambria Math"/>
                <w:lang w:val="en-US"/>
              </w:rPr>
              <m:t>1</m:t>
            </m:r>
          </m:sup>
        </m:sSubSup>
        <m:r>
          <w:rPr>
            <w:rFonts w:ascii="Cambria Math" w:hAnsi="Cambria Math"/>
            <w:lang w:val="en-US"/>
          </w:rPr>
          <m:t xml:space="preserve"> ≤ 28</m:t>
        </m:r>
      </m:oMath>
      <w:r w:rsidRPr="009961B3">
        <w:rPr>
          <w:lang w:val="en-US"/>
        </w:rPr>
        <w:t xml:space="preserve">  keV and </w:t>
      </w:r>
      <m:oMath>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NBI</m:t>
            </m:r>
          </m:sub>
          <m:sup>
            <m:r>
              <w:rPr>
                <w:rFonts w:ascii="Cambria Math" w:hAnsi="Cambria Math"/>
                <w:lang w:val="en-US"/>
              </w:rPr>
              <m:t>2</m:t>
            </m:r>
          </m:sup>
        </m:sSubSup>
        <m:r>
          <w:rPr>
            <w:rFonts w:ascii="Cambria Math" w:hAnsi="Cambria Math"/>
            <w:lang w:val="en-US"/>
          </w:rPr>
          <m:t>≤ 45</m:t>
        </m:r>
      </m:oMath>
      <w:r w:rsidRPr="009961B3">
        <w:rPr>
          <w:lang w:val="en-US"/>
        </w:rPr>
        <w:t xml:space="preserve"> keV and the total output power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NBI</m:t>
            </m:r>
          </m:sub>
        </m:sSub>
        <m:r>
          <w:rPr>
            <w:rFonts w:ascii="Cambria Math" w:hAnsi="Cambria Math"/>
            <w:lang w:val="en-US"/>
          </w:rPr>
          <m:t>=1.25 MW</m:t>
        </m:r>
      </m:oMath>
      <w:r w:rsidRPr="009961B3">
        <w:rPr>
          <w:lang w:val="en-US"/>
        </w:rPr>
        <w:t xml:space="preserve"> in atomic beams. Taking into account the ohmic heating power the total heating power density achieved the value of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total</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p</m:t>
            </m:r>
          </m:sub>
        </m:sSub>
        <m:r>
          <w:rPr>
            <w:rFonts w:ascii="Cambria Math" w:hAnsi="Cambria Math"/>
            <w:lang w:val="en-US"/>
          </w:rPr>
          <m:t> ≈ 3 MW/</m:t>
        </m:r>
        <m:sSup>
          <m:sSupPr>
            <m:ctrlPr>
              <w:rPr>
                <w:rFonts w:ascii="Cambria Math" w:hAnsi="Cambria Math"/>
                <w:i/>
                <w:lang w:val="en-US"/>
              </w:rPr>
            </m:ctrlPr>
          </m:sSupPr>
          <m:e>
            <m:r>
              <w:rPr>
                <w:rFonts w:ascii="Cambria Math" w:hAnsi="Cambria Math"/>
                <w:lang w:val="en-US"/>
              </w:rPr>
              <m:t>m</m:t>
            </m:r>
          </m:e>
          <m:sup>
            <m:r>
              <w:rPr>
                <w:rFonts w:ascii="Cambria Math" w:hAnsi="Cambria Math"/>
                <w:lang w:val="en-US"/>
              </w:rPr>
              <m:t>3</m:t>
            </m:r>
          </m:sup>
        </m:sSup>
      </m:oMath>
      <w:r w:rsidRPr="009961B3">
        <w:rPr>
          <w:lang w:val="en-US"/>
        </w:rPr>
        <w:t>.</w:t>
      </w:r>
    </w:p>
    <w:p w:rsidR="00CF7FF8" w:rsidRPr="009961B3" w:rsidRDefault="00CF7FF8" w:rsidP="00CF7FF8">
      <w:pPr>
        <w:pStyle w:val="Zv-bodyreport"/>
        <w:rPr>
          <w:lang w:val="en-US"/>
        </w:rPr>
      </w:pPr>
      <w:r w:rsidRPr="009961B3">
        <w:rPr>
          <w:lang w:val="en-US"/>
        </w:rPr>
        <w:t>The evolution of W</w:t>
      </w:r>
      <w:r w:rsidRPr="009961B3">
        <w:rPr>
          <w:vertAlign w:val="subscript"/>
          <w:lang w:val="en-US"/>
        </w:rPr>
        <w:t>P</w:t>
      </w:r>
      <w:r w:rsidRPr="009961B3">
        <w:rPr>
          <w:lang w:val="en-US"/>
        </w:rPr>
        <w:t xml:space="preserve"> was estimated using the free boundary equilibrium code PET [1]. The code solves the Grad–Shafranov equation and also calculates the diamagnetic flux. Irrespectively the last closed magnetic surface was reconstructed by the movable filaments method [2]. This method modeled the plasma current by a set of 19 current-carrying rings. The input data are the magnetic fluxes measured by 21 loops placed on the vacuum vessel wall near the plasma boundary, the plasma current and the currents in poloidal field coils and central solenoid. The signals from the magnetic loops were also used to determine the distribution of the currents over the vessel wall. In PET simulation the shapes of plasma pressure and current density profiles, as well as plasma beta (</w:t>
      </w:r>
      <w:r w:rsidRPr="009961B3">
        <w:t>β</w:t>
      </w:r>
      <w:r w:rsidRPr="009961B3">
        <w:rPr>
          <w:lang w:val="en-US"/>
        </w:rPr>
        <w:t>) were varied in such a way that the calculated with PET the last closed magnetic surface and the diamagnetic flux coincided with the experimental values. Such approach made it possible to determine the plasma thermal energy as well as the normalized internal inductance (l</w:t>
      </w:r>
      <w:r w:rsidRPr="009961B3">
        <w:rPr>
          <w:vertAlign w:val="subscript"/>
          <w:lang w:val="en-US"/>
        </w:rPr>
        <w:t>i</w:t>
      </w:r>
      <w:r w:rsidRPr="009961B3">
        <w:rPr>
          <w:lang w:val="en-US"/>
        </w:rPr>
        <w:t xml:space="preserve">). </w:t>
      </w:r>
    </w:p>
    <w:p w:rsidR="00CF7FF8" w:rsidRPr="009961B3" w:rsidRDefault="00CF7FF8" w:rsidP="00CF7FF8">
      <w:pPr>
        <w:pStyle w:val="Zv-bodyreport"/>
        <w:rPr>
          <w:lang w:val="en-US"/>
        </w:rPr>
      </w:pPr>
      <w:r w:rsidRPr="009961B3">
        <w:rPr>
          <w:lang w:val="en-US"/>
        </w:rPr>
        <w:t xml:space="preserve">Measuring the diamagnetic flux from the plasma made it possible to calculate the </w:t>
      </w:r>
      <w:r w:rsidRPr="009961B3">
        <w:rPr>
          <w:rFonts w:ascii="Cambria Math" w:hAnsi="Cambria Math" w:cs="Cambria Math"/>
          <w:lang w:val="en-US"/>
        </w:rPr>
        <w:t>𝛽</w:t>
      </w:r>
      <w:r w:rsidRPr="009961B3">
        <w:rPr>
          <w:vertAlign w:val="subscript"/>
          <w:lang w:val="en-US"/>
        </w:rPr>
        <w:t>dia</w:t>
      </w:r>
      <w:r w:rsidRPr="009961B3">
        <w:rPr>
          <w:lang w:val="en-US"/>
        </w:rPr>
        <w:t xml:space="preserve"> [3] and thermal stored energy W</w:t>
      </w:r>
      <w:r w:rsidRPr="009961B3">
        <w:rPr>
          <w:vertAlign w:val="subscript"/>
          <w:lang w:val="en-US"/>
        </w:rPr>
        <w:t>approx</w:t>
      </w:r>
      <w:r w:rsidRPr="009961B3">
        <w:rPr>
          <w:lang w:val="en-US"/>
        </w:rPr>
        <w:t xml:space="preserve"> by the approximate equation. The difference between W</w:t>
      </w:r>
      <w:r w:rsidRPr="009961B3">
        <w:rPr>
          <w:vertAlign w:val="subscript"/>
          <w:lang w:val="en-US"/>
        </w:rPr>
        <w:t>P</w:t>
      </w:r>
      <w:r w:rsidRPr="009961B3">
        <w:rPr>
          <w:lang w:val="en-US"/>
        </w:rPr>
        <w:t xml:space="preserve"> and Wapprox in the range from 6 to 16 kJ was less than 10%</w:t>
      </w:r>
    </w:p>
    <w:p w:rsidR="00CF7FF8" w:rsidRPr="009961B3" w:rsidRDefault="00CF7FF8" w:rsidP="00CF7FF8">
      <w:pPr>
        <w:pStyle w:val="Zv-bodyreport"/>
        <w:rPr>
          <w:lang w:val="en-US"/>
        </w:rPr>
      </w:pPr>
      <w:r w:rsidRPr="009961B3">
        <w:rPr>
          <w:lang w:val="en-US"/>
        </w:rPr>
        <w:t>The l</w:t>
      </w:r>
      <w:r w:rsidRPr="009961B3">
        <w:rPr>
          <w:vertAlign w:val="subscript"/>
          <w:lang w:val="en-US"/>
        </w:rPr>
        <w:t>i</w:t>
      </w:r>
      <w:r w:rsidRPr="009961B3">
        <w:rPr>
          <w:lang w:val="en-US"/>
        </w:rPr>
        <w:t xml:space="preserve"> was determined from the expression for the vertical magnetic field using the </w:t>
      </w:r>
      <w:r w:rsidRPr="009961B3">
        <w:rPr>
          <w:rFonts w:ascii="Cambria Math" w:hAnsi="Cambria Math" w:cs="Cambria Math"/>
          <w:lang w:val="en-US"/>
        </w:rPr>
        <w:t>𝛽</w:t>
      </w:r>
      <w:r w:rsidRPr="009961B3">
        <w:rPr>
          <w:vertAlign w:val="subscript"/>
          <w:lang w:val="en-US"/>
        </w:rPr>
        <w:t>dia</w:t>
      </w:r>
      <w:r w:rsidRPr="009961B3">
        <w:rPr>
          <w:lang w:val="en-US"/>
        </w:rPr>
        <w:t xml:space="preserve"> as the poloidal beta. This l</w:t>
      </w:r>
      <w:r w:rsidRPr="009961B3">
        <w:rPr>
          <w:vertAlign w:val="subscript"/>
          <w:lang w:val="en-US"/>
        </w:rPr>
        <w:t>i</w:t>
      </w:r>
      <w:r w:rsidRPr="009961B3">
        <w:rPr>
          <w:lang w:val="en-US"/>
        </w:rPr>
        <w:t xml:space="preserve"> were in a satisfactory agreement (less than 10% difference) with l</w:t>
      </w:r>
      <w:r w:rsidRPr="009961B3">
        <w:rPr>
          <w:vertAlign w:val="subscript"/>
          <w:lang w:val="en-US"/>
        </w:rPr>
        <w:t>i</w:t>
      </w:r>
      <w:r w:rsidRPr="009961B3">
        <w:rPr>
          <w:lang w:val="en-US"/>
        </w:rPr>
        <w:t xml:space="preserve"> obtained by PET in the range of inductance from 0.8 to 1.2.</w:t>
      </w:r>
    </w:p>
    <w:p w:rsidR="00CF7FF8" w:rsidRPr="009961B3" w:rsidRDefault="00CF7FF8" w:rsidP="00CF7FF8">
      <w:pPr>
        <w:pStyle w:val="Zv-bodyreport"/>
        <w:rPr>
          <w:lang w:val="en-US"/>
        </w:rPr>
      </w:pPr>
      <w:r w:rsidRPr="009961B3">
        <w:rPr>
          <w:lang w:val="en-US"/>
        </w:rPr>
        <w:t>The calculated by PET values of plasma energy was compared with W</w:t>
      </w:r>
      <w:r w:rsidRPr="009961B3">
        <w:rPr>
          <w:vertAlign w:val="subscript"/>
          <w:lang w:val="en-US"/>
        </w:rPr>
        <w:t>P</w:t>
      </w:r>
      <w:r w:rsidRPr="009961B3">
        <w:rPr>
          <w:lang w:val="en-US"/>
        </w:rPr>
        <w:t xml:space="preserve"> values obtained from kinetic measurements of the plasma temperature and density profiles by Thomson scattering diagnostic, charge exchange recombination spectroscopy and neutral particle analyzer. The values of effective plasma charge Z</w:t>
      </w:r>
      <w:r w:rsidRPr="009961B3">
        <w:rPr>
          <w:vertAlign w:val="subscript"/>
          <w:lang w:val="en-US"/>
        </w:rPr>
        <w:t>eff</w:t>
      </w:r>
      <w:r w:rsidRPr="009961B3">
        <w:rPr>
          <w:lang w:val="en-US"/>
        </w:rPr>
        <w:t xml:space="preserve"> were obtained from the intensity of bremsstrahlung.</w:t>
      </w:r>
    </w:p>
    <w:p w:rsidR="00CF7FF8" w:rsidRPr="00CF7FF8" w:rsidRDefault="00CF7FF8" w:rsidP="00CF7FF8">
      <w:pPr>
        <w:pStyle w:val="Zv-TitleReferences-en"/>
      </w:pPr>
      <w:r w:rsidRPr="00CF7FF8">
        <w:t>References</w:t>
      </w:r>
    </w:p>
    <w:p w:rsidR="00CF7FF8" w:rsidRPr="00E02BC2" w:rsidRDefault="00CF7FF8" w:rsidP="00CF7FF8">
      <w:pPr>
        <w:pStyle w:val="Zv-References-en"/>
      </w:pPr>
      <w:r w:rsidRPr="00E02BC2">
        <w:t>S.A. Galkin, A.A. Ivanov, S.Yu. Medvedev and Yu.Yu. Poshekhonov,  Nucl. Fusion, 37 (1997).</w:t>
      </w:r>
    </w:p>
    <w:p w:rsidR="00CF7FF8" w:rsidRDefault="00CF7FF8" w:rsidP="00CF7FF8">
      <w:pPr>
        <w:pStyle w:val="Zv-References-en"/>
      </w:pPr>
      <w:r w:rsidRPr="00E02BC2">
        <w:t>V.I. Vasiliev, Yu.A. Kostsov, K.M. Lobanov</w:t>
      </w:r>
      <w:r>
        <w:t xml:space="preserve"> et al Nucl. Fusion 46, 625 (2006)</w:t>
      </w:r>
    </w:p>
    <w:p w:rsidR="00CF7FF8" w:rsidRPr="000E2E6D" w:rsidRDefault="00CF7FF8" w:rsidP="00CF7FF8">
      <w:pPr>
        <w:pStyle w:val="Zv-References-en"/>
      </w:pPr>
      <w:r w:rsidRPr="007650B6">
        <w:rPr>
          <w:rFonts w:eastAsia="Newton-Regular"/>
        </w:rPr>
        <w:t>L.L. Lao et al 1985 Nucl. Fusion 25 1421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BC1" w:rsidRDefault="00805BC1">
      <w:r>
        <w:separator/>
      </w:r>
    </w:p>
  </w:endnote>
  <w:endnote w:type="continuationSeparator" w:id="0">
    <w:p w:rsidR="00805BC1" w:rsidRDefault="00805B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Newton-Regular">
    <w:altName w:val="MS Mincho"/>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855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855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D54E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BC1" w:rsidRDefault="00805BC1">
      <w:r>
        <w:separator/>
      </w:r>
    </w:p>
  </w:footnote>
  <w:footnote w:type="continuationSeparator" w:id="0">
    <w:p w:rsidR="00805BC1" w:rsidRDefault="00805BC1">
      <w:r>
        <w:continuationSeparator/>
      </w:r>
    </w:p>
  </w:footnote>
  <w:footnote w:id="1">
    <w:p w:rsidR="00AD54EE" w:rsidRPr="00AD54EE" w:rsidRDefault="00AD54EE">
      <w:pPr>
        <w:pStyle w:val="a8"/>
        <w:rPr>
          <w:lang w:val="en-US"/>
        </w:rPr>
      </w:pPr>
      <w:r w:rsidRPr="00AD54EE">
        <w:rPr>
          <w:rStyle w:val="aa"/>
          <w:lang w:val="en-US"/>
        </w:rPr>
        <w:t>*)</w:t>
      </w:r>
      <w:r w:rsidRPr="00AD54EE">
        <w:rPr>
          <w:lang w:val="en-US"/>
        </w:rPr>
        <w:t xml:space="preserve"> </w:t>
      </w:r>
      <w:hyperlink r:id="rId1" w:history="1">
        <w:r w:rsidRPr="00AD54E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855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105DD"/>
    <w:rsid w:val="00043701"/>
    <w:rsid w:val="00081366"/>
    <w:rsid w:val="000A23FC"/>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05BC1"/>
    <w:rsid w:val="008306AF"/>
    <w:rsid w:val="008520F9"/>
    <w:rsid w:val="00871582"/>
    <w:rsid w:val="008850EF"/>
    <w:rsid w:val="00906FF7"/>
    <w:rsid w:val="009D3AC4"/>
    <w:rsid w:val="00AA4AF0"/>
    <w:rsid w:val="00AD54EE"/>
    <w:rsid w:val="00AE6185"/>
    <w:rsid w:val="00B105DD"/>
    <w:rsid w:val="00B622ED"/>
    <w:rsid w:val="00B9584E"/>
    <w:rsid w:val="00C103CD"/>
    <w:rsid w:val="00C232A0"/>
    <w:rsid w:val="00C5751F"/>
    <w:rsid w:val="00C8550C"/>
    <w:rsid w:val="00CF7FF8"/>
    <w:rsid w:val="00D47F19"/>
    <w:rsid w:val="00D75E08"/>
    <w:rsid w:val="00D900FB"/>
    <w:rsid w:val="00D92E54"/>
    <w:rsid w:val="00DC6E63"/>
    <w:rsid w:val="00E118BE"/>
    <w:rsid w:val="00E7021A"/>
    <w:rsid w:val="00E87733"/>
    <w:rsid w:val="00EE371E"/>
    <w:rsid w:val="00EF07A9"/>
    <w:rsid w:val="00F36358"/>
    <w:rsid w:val="00F722F5"/>
    <w:rsid w:val="00F74399"/>
    <w:rsid w:val="00F80EB6"/>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F7FF8"/>
    <w:rPr>
      <w:color w:val="0000FF" w:themeColor="hyperlink"/>
      <w:u w:val="single"/>
    </w:rPr>
  </w:style>
  <w:style w:type="character" w:customStyle="1" w:styleId="Zv-bodyreportChar">
    <w:name w:val="Zv-body_report Char"/>
    <w:link w:val="Zv-bodyreport"/>
    <w:locked/>
    <w:rsid w:val="00CF7FF8"/>
    <w:rPr>
      <w:sz w:val="24"/>
      <w:szCs w:val="24"/>
    </w:rPr>
  </w:style>
  <w:style w:type="paragraph" w:styleId="a8">
    <w:name w:val="footnote text"/>
    <w:basedOn w:val="a"/>
    <w:link w:val="a9"/>
    <w:rsid w:val="00AD54EE"/>
    <w:rPr>
      <w:sz w:val="20"/>
      <w:szCs w:val="20"/>
    </w:rPr>
  </w:style>
  <w:style w:type="character" w:customStyle="1" w:styleId="a9">
    <w:name w:val="Текст сноски Знак"/>
    <w:basedOn w:val="a0"/>
    <w:link w:val="a8"/>
    <w:rsid w:val="00AD54EE"/>
  </w:style>
  <w:style w:type="character" w:styleId="aa">
    <w:name w:val="footnote reference"/>
    <w:basedOn w:val="a0"/>
    <w:rsid w:val="00AD54E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na.tkachenko@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ru/BN-Tkach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92393A-7A09-4A19-8792-83D52EA0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22</TotalTime>
  <Pages>1</Pages>
  <Words>495</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ANALYSIS OF GLOBUS-M2 TOKAMAK PLASMA HEATING EXPERIMENTS USING DIAMAGNETIC MEASUREMENTS</vt:lpstr>
    </vt:vector>
  </TitlesOfParts>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GLOBUS-M2 TOKAMAK PLASMA HEATING EXPERIMENTS USING DIAMAGNETIC MEASUREMENTS</dc:title>
  <dc:creator/>
  <cp:lastModifiedBy>Сатунин</cp:lastModifiedBy>
  <cp:revision>5</cp:revision>
  <cp:lastPrinted>1601-01-01T00:00:00Z</cp:lastPrinted>
  <dcterms:created xsi:type="dcterms:W3CDTF">2023-02-19T18:22:00Z</dcterms:created>
  <dcterms:modified xsi:type="dcterms:W3CDTF">2023-05-10T18:15:00Z</dcterms:modified>
</cp:coreProperties>
</file>