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B5" w:rsidRPr="00FD0D1E" w:rsidRDefault="00D61A64" w:rsidP="00F04AA2">
      <w:pPr>
        <w:pStyle w:val="Zv-Titlereport"/>
        <w:spacing w:line="233" w:lineRule="auto"/>
        <w:rPr>
          <w:lang w:val="en-US"/>
        </w:rPr>
      </w:pPr>
      <w:r w:rsidRPr="00D61A6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8752;mso-position-horizontal:absolute" stroked="f" strokecolor="red">
            <v:textbox style="mso-next-textbox:#_x0000_s1026">
              <w:txbxContent>
                <w:p w:rsidR="00C26473" w:rsidRPr="00824DF5" w:rsidRDefault="00C26473" w:rsidP="003B6459">
                  <w:pPr>
                    <w:spacing w:before="80"/>
                    <w:rPr>
                      <w:sz w:val="22"/>
                      <w:szCs w:val="22"/>
                    </w:rPr>
                  </w:pPr>
                  <w:r w:rsidRPr="00824DF5">
                    <w:rPr>
                      <w:sz w:val="22"/>
                      <w:szCs w:val="22"/>
                    </w:rPr>
                    <w:t xml:space="preserve">DOI: </w:t>
                  </w:r>
                  <w:r w:rsidRPr="00C26473">
                    <w:rPr>
                      <w:sz w:val="22"/>
                      <w:szCs w:val="22"/>
                    </w:rPr>
                    <w:t>10.34854/ICPAF.2023.50.2023.1.1.023</w:t>
                  </w:r>
                </w:p>
              </w:txbxContent>
            </v:textbox>
            <w10:anchorlock/>
          </v:shape>
        </w:pict>
      </w:r>
      <w:r w:rsidR="008C0FB5" w:rsidRPr="00FD0D1E">
        <w:rPr>
          <w:lang w:val="en-US"/>
        </w:rPr>
        <w:t xml:space="preserve">CALCULATION OF THE DIFFUSION COEFFICIENT AND </w:t>
      </w:r>
      <w:r w:rsidR="008C0FB5">
        <w:rPr>
          <w:lang w:val="en-US"/>
        </w:rPr>
        <w:t xml:space="preserve">THE </w:t>
      </w:r>
      <w:r w:rsidR="008C0FB5" w:rsidRPr="00FD0D1E">
        <w:rPr>
          <w:lang w:val="en-US"/>
        </w:rPr>
        <w:t xml:space="preserve">PARTICLE PINCH </w:t>
      </w:r>
      <w:r w:rsidR="008C0FB5">
        <w:rPr>
          <w:lang w:val="en-US"/>
        </w:rPr>
        <w:t xml:space="preserve">VELOCITY </w:t>
      </w:r>
      <w:r w:rsidR="008C0FB5" w:rsidRPr="00FD0D1E">
        <w:rPr>
          <w:lang w:val="en-US"/>
        </w:rPr>
        <w:t>AFTER THE CENTRAL ECR HEATING ON THE T-10</w:t>
      </w:r>
      <w:r w:rsidR="00C26473">
        <w:rPr>
          <w:lang w:val="en-US"/>
        </w:rPr>
        <w:t xml:space="preserve"> </w:t>
      </w:r>
      <w:r w:rsidR="00C26473">
        <w:rPr>
          <w:rStyle w:val="ab"/>
          <w:lang w:val="en-US"/>
        </w:rPr>
        <w:footnoteReference w:customMarkFollows="1" w:id="1"/>
        <w:t>*)</w:t>
      </w:r>
    </w:p>
    <w:p w:rsidR="008C0FB5" w:rsidRPr="00CE617A" w:rsidRDefault="008C0FB5" w:rsidP="00F04AA2">
      <w:pPr>
        <w:pStyle w:val="Zv-Author"/>
        <w:spacing w:line="233" w:lineRule="auto"/>
        <w:rPr>
          <w:lang w:val="en-US"/>
        </w:rPr>
      </w:pPr>
      <w:r>
        <w:rPr>
          <w:u w:val="single"/>
          <w:lang w:val="en-US"/>
        </w:rPr>
        <w:t>Aseev A.S.</w:t>
      </w:r>
      <w:r w:rsidRPr="00F1090B">
        <w:rPr>
          <w:lang w:val="en-US"/>
        </w:rPr>
        <w:t xml:space="preserve">, </w:t>
      </w:r>
      <w:r>
        <w:rPr>
          <w:lang w:val="en-US"/>
        </w:rPr>
        <w:t>Andreev V.F.</w:t>
      </w:r>
      <w:r w:rsidRPr="00F1090B">
        <w:rPr>
          <w:lang w:val="en-US"/>
        </w:rPr>
        <w:t xml:space="preserve">, </w:t>
      </w:r>
      <w:r>
        <w:rPr>
          <w:lang w:val="en-US"/>
        </w:rPr>
        <w:t>Danilov A.V., Dnestrovskij Yu.N.</w:t>
      </w:r>
    </w:p>
    <w:p w:rsidR="008C0FB5" w:rsidRDefault="008C0FB5" w:rsidP="00F04AA2">
      <w:pPr>
        <w:pStyle w:val="Zv-Organization"/>
        <w:spacing w:line="233" w:lineRule="auto"/>
        <w:rPr>
          <w:rStyle w:val="a7"/>
          <w:color w:val="auto"/>
          <w:u w:val="none"/>
          <w:lang w:val="en-US"/>
        </w:rPr>
      </w:pPr>
      <w:r w:rsidRPr="008C0FB5">
        <w:rPr>
          <w:lang w:val="en-US"/>
        </w:rPr>
        <w:t xml:space="preserve">NRC “Kurchatov institute”, </w:t>
      </w:r>
      <w:hyperlink r:id="rId8" w:history="1">
        <w:r w:rsidRPr="008C0FB5">
          <w:rPr>
            <w:rStyle w:val="a7"/>
            <w:lang w:val="en-US"/>
          </w:rPr>
          <w:t>Savuyor@gmail.com</w:t>
        </w:r>
      </w:hyperlink>
    </w:p>
    <w:p w:rsidR="008C0FB5" w:rsidRPr="00FD0D1E" w:rsidRDefault="008C0FB5" w:rsidP="00F04AA2">
      <w:pPr>
        <w:pStyle w:val="Zv-bodyreport"/>
        <w:spacing w:line="233" w:lineRule="auto"/>
        <w:rPr>
          <w:lang w:val="en-US"/>
        </w:rPr>
      </w:pPr>
      <w:r w:rsidRPr="00FD0D1E">
        <w:rPr>
          <w:lang w:val="en-US"/>
        </w:rPr>
        <w:t xml:space="preserve">In many experiments with </w:t>
      </w:r>
      <w:r>
        <w:rPr>
          <w:lang w:val="en-US"/>
        </w:rPr>
        <w:t xml:space="preserve">on-axis </w:t>
      </w:r>
      <w:r w:rsidRPr="00FD0D1E">
        <w:rPr>
          <w:lang w:val="en-US"/>
        </w:rPr>
        <w:t xml:space="preserve">ECR heating on the T-10 tokamak, particles are carried out from the heating </w:t>
      </w:r>
      <w:r w:rsidRPr="008C0FB5">
        <w:rPr>
          <w:lang w:val="en-US"/>
        </w:rPr>
        <w:t>zone</w:t>
      </w:r>
      <w:r w:rsidRPr="00FD0D1E">
        <w:rPr>
          <w:lang w:val="en-US"/>
        </w:rPr>
        <w:t xml:space="preserve"> to the plasma periphery [1]. This effect is called </w:t>
      </w:r>
      <w:r>
        <w:rPr>
          <w:lang w:val="en-US"/>
        </w:rPr>
        <w:t>“</w:t>
      </w:r>
      <w:r w:rsidRPr="00FD0D1E">
        <w:rPr>
          <w:lang w:val="en-US"/>
        </w:rPr>
        <w:t>density pump-out</w:t>
      </w:r>
      <w:r>
        <w:rPr>
          <w:lang w:val="en-US"/>
        </w:rPr>
        <w:t>”</w:t>
      </w:r>
      <w:r w:rsidRPr="00FD0D1E">
        <w:rPr>
          <w:lang w:val="en-US"/>
        </w:rPr>
        <w:t xml:space="preserve">. For </w:t>
      </w:r>
      <w:r>
        <w:rPr>
          <w:lang w:val="en-US"/>
        </w:rPr>
        <w:t xml:space="preserve">the </w:t>
      </w:r>
      <w:r w:rsidRPr="00FD0D1E">
        <w:rPr>
          <w:lang w:val="en-US"/>
        </w:rPr>
        <w:t xml:space="preserve">study of the </w:t>
      </w:r>
      <w:r>
        <w:rPr>
          <w:lang w:val="en-US"/>
        </w:rPr>
        <w:t>“</w:t>
      </w:r>
      <w:r w:rsidRPr="00FD0D1E">
        <w:rPr>
          <w:lang w:val="en-US"/>
        </w:rPr>
        <w:t>density pump-out</w:t>
      </w:r>
      <w:r>
        <w:rPr>
          <w:lang w:val="en-US"/>
        </w:rPr>
        <w:t>”</w:t>
      </w:r>
      <w:r w:rsidRPr="00FD0D1E">
        <w:rPr>
          <w:lang w:val="en-US"/>
        </w:rPr>
        <w:t xml:space="preserve"> effect, two series of experiments are analyzed. The first series is a “standard” chamber; the second series i</w:t>
      </w:r>
      <w:r>
        <w:rPr>
          <w:lang w:val="en-US"/>
        </w:rPr>
        <w:t>s a “clean” chamber, after liti</w:t>
      </w:r>
      <w:r w:rsidRPr="00FD0D1E">
        <w:rPr>
          <w:lang w:val="en-US"/>
        </w:rPr>
        <w:t>zation. Note that, in this case, the particle</w:t>
      </w:r>
      <w:r>
        <w:rPr>
          <w:lang w:val="en-US"/>
        </w:rPr>
        <w:t xml:space="preserve"> flux</w:t>
      </w:r>
      <w:r w:rsidRPr="00FD0D1E">
        <w:rPr>
          <w:lang w:val="en-US"/>
        </w:rPr>
        <w:t xml:space="preserve"> from the wall decreases significantly.</w:t>
      </w:r>
    </w:p>
    <w:p w:rsidR="008C0FB5" w:rsidRPr="00FD0D1E" w:rsidRDefault="008C0FB5" w:rsidP="00F04AA2">
      <w:pPr>
        <w:pStyle w:val="Zv-bodyreport"/>
        <w:spacing w:line="233" w:lineRule="auto"/>
        <w:rPr>
          <w:szCs w:val="20"/>
          <w:lang w:val="en-US"/>
        </w:rPr>
      </w:pPr>
      <w:r w:rsidRPr="00FD0D1E">
        <w:rPr>
          <w:szCs w:val="20"/>
          <w:lang w:val="en-US"/>
        </w:rPr>
        <w:t xml:space="preserve">For each series of experiments, the diffusion coefficient and the </w:t>
      </w:r>
      <w:r>
        <w:rPr>
          <w:szCs w:val="20"/>
          <w:lang w:val="en-US"/>
        </w:rPr>
        <w:t xml:space="preserve">particle pinch velocity </w:t>
      </w:r>
      <w:r w:rsidRPr="00FD0D1E">
        <w:rPr>
          <w:szCs w:val="20"/>
          <w:lang w:val="en-US"/>
        </w:rPr>
        <w:t xml:space="preserve">in the transient process after </w:t>
      </w:r>
      <w:r>
        <w:rPr>
          <w:szCs w:val="20"/>
          <w:lang w:val="en-US"/>
        </w:rPr>
        <w:t>switching on</w:t>
      </w:r>
      <w:r w:rsidRPr="00FD0D1E">
        <w:rPr>
          <w:szCs w:val="20"/>
          <w:lang w:val="en-US"/>
        </w:rPr>
        <w:t xml:space="preserve"> the central ECR heating are calculated. Two inverse problems are solved [2]. The first one is at a steady state in the ohmic </w:t>
      </w:r>
      <w:r>
        <w:rPr>
          <w:szCs w:val="20"/>
          <w:lang w:val="en-US"/>
        </w:rPr>
        <w:t>regime</w:t>
      </w:r>
      <w:r w:rsidRPr="00FD0D1E">
        <w:rPr>
          <w:szCs w:val="20"/>
          <w:lang w:val="en-US"/>
        </w:rPr>
        <w:t xml:space="preserve">, at a given diffusion coefficient, and the </w:t>
      </w:r>
      <w:r>
        <w:rPr>
          <w:szCs w:val="20"/>
          <w:lang w:val="en-US"/>
        </w:rPr>
        <w:t xml:space="preserve">particle pinch velocity </w:t>
      </w:r>
      <w:r w:rsidRPr="00FD0D1E">
        <w:rPr>
          <w:szCs w:val="20"/>
          <w:lang w:val="en-US"/>
        </w:rPr>
        <w:t xml:space="preserve">and the source are found from the solution of the </w:t>
      </w:r>
      <w:r>
        <w:rPr>
          <w:szCs w:val="20"/>
          <w:lang w:val="en-US"/>
        </w:rPr>
        <w:t xml:space="preserve">inverse </w:t>
      </w:r>
      <w:r w:rsidRPr="00FD0D1E">
        <w:rPr>
          <w:szCs w:val="20"/>
          <w:lang w:val="en-US"/>
        </w:rPr>
        <w:t>problem.</w:t>
      </w:r>
    </w:p>
    <w:p w:rsidR="008C0FB5" w:rsidRPr="00FD0D1E" w:rsidRDefault="008C0FB5" w:rsidP="00F04AA2">
      <w:pPr>
        <w:pStyle w:val="Zv-bodyreport"/>
        <w:spacing w:line="233" w:lineRule="auto"/>
        <w:rPr>
          <w:szCs w:val="20"/>
          <w:lang w:val="en-US"/>
        </w:rPr>
      </w:pPr>
      <w:r w:rsidRPr="00FD0D1E">
        <w:rPr>
          <w:szCs w:val="20"/>
          <w:lang w:val="en-US"/>
        </w:rPr>
        <w:t xml:space="preserve">The second one is for the transient process after </w:t>
      </w:r>
      <w:r>
        <w:rPr>
          <w:szCs w:val="20"/>
          <w:lang w:val="en-US"/>
        </w:rPr>
        <w:t xml:space="preserve">switching on </w:t>
      </w:r>
      <w:r w:rsidRPr="00FD0D1E">
        <w:rPr>
          <w:szCs w:val="20"/>
          <w:lang w:val="en-US"/>
        </w:rPr>
        <w:t>the ECR heating at a fixed source of particles, and the diffusion coefficient and the particle pinch</w:t>
      </w:r>
      <w:r>
        <w:rPr>
          <w:szCs w:val="20"/>
          <w:lang w:val="en-US"/>
        </w:rPr>
        <w:t xml:space="preserve"> velocity </w:t>
      </w:r>
      <w:r w:rsidRPr="00FD0D1E">
        <w:rPr>
          <w:szCs w:val="20"/>
          <w:lang w:val="en-US"/>
        </w:rPr>
        <w:t xml:space="preserve">are found from the solution of the inverse problem. In this case, the particle source is set to the one found at the station in the ohmic </w:t>
      </w:r>
      <w:r>
        <w:rPr>
          <w:szCs w:val="20"/>
          <w:lang w:val="en-US"/>
        </w:rPr>
        <w:t>regime</w:t>
      </w:r>
      <w:r w:rsidRPr="00FD0D1E">
        <w:rPr>
          <w:szCs w:val="20"/>
          <w:lang w:val="en-US"/>
        </w:rPr>
        <w:t>.</w:t>
      </w:r>
    </w:p>
    <w:p w:rsidR="008C0FB5" w:rsidRPr="00FD0D1E" w:rsidRDefault="008C0FB5" w:rsidP="00F04AA2">
      <w:pPr>
        <w:pStyle w:val="Zv-bodyreport"/>
        <w:spacing w:after="120" w:line="233" w:lineRule="auto"/>
        <w:rPr>
          <w:szCs w:val="20"/>
          <w:lang w:val="en-US"/>
        </w:rPr>
      </w:pPr>
      <w:r w:rsidRPr="00FD0D1E">
        <w:rPr>
          <w:szCs w:val="20"/>
          <w:lang w:val="en-US"/>
        </w:rPr>
        <w:t>Comparison of the trans</w:t>
      </w:r>
      <w:r>
        <w:rPr>
          <w:szCs w:val="20"/>
          <w:lang w:val="en-US"/>
        </w:rPr>
        <w:t>port</w:t>
      </w:r>
      <w:r w:rsidRPr="00FD0D1E">
        <w:rPr>
          <w:szCs w:val="20"/>
          <w:lang w:val="en-US"/>
        </w:rPr>
        <w:t xml:space="preserve"> coefficients at the steady state and at the dynamic stage allows us to conclude that, after switching on the ECR heating, the removal of particles to the periphery is mainly determined by the change in the particle pinch</w:t>
      </w:r>
      <w:r>
        <w:rPr>
          <w:szCs w:val="20"/>
          <w:lang w:val="en-US"/>
        </w:rPr>
        <w:t xml:space="preserve"> velocity</w:t>
      </w:r>
      <w:r w:rsidRPr="00FD0D1E">
        <w:rPr>
          <w:szCs w:val="20"/>
          <w:lang w:val="en-US"/>
        </w:rPr>
        <w:t>.</w:t>
      </w:r>
    </w:p>
    <w:tbl>
      <w:tblPr>
        <w:tblStyle w:val="a8"/>
        <w:tblW w:w="0" w:type="auto"/>
        <w:jc w:val="center"/>
        <w:tblLook w:val="04A0"/>
      </w:tblPr>
      <w:tblGrid>
        <w:gridCol w:w="3851"/>
        <w:gridCol w:w="3851"/>
      </w:tblGrid>
      <w:tr w:rsidR="008C0FB5" w:rsidTr="00CC63D9">
        <w:trPr>
          <w:jc w:val="center"/>
        </w:trPr>
        <w:tc>
          <w:tcPr>
            <w:tcW w:w="0" w:type="auto"/>
            <w:vAlign w:val="center"/>
          </w:tcPr>
          <w:p w:rsidR="008C0FB5" w:rsidRDefault="008C0FB5" w:rsidP="00F04AA2">
            <w:pPr>
              <w:pStyle w:val="Zv-bodyreport"/>
              <w:spacing w:line="233" w:lineRule="auto"/>
              <w:ind w:firstLine="0"/>
              <w:jc w:val="center"/>
              <w:rPr>
                <w:szCs w:val="20"/>
              </w:rPr>
            </w:pPr>
            <w:r>
              <w:rPr>
                <w:noProof/>
                <w:szCs w:val="20"/>
              </w:rPr>
              <w:drawing>
                <wp:inline distT="0" distB="0" distL="0" distR="0">
                  <wp:extent cx="2307600" cy="178200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a.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7600" cy="1782000"/>
                          </a:xfrm>
                          <a:prstGeom prst="rect">
                            <a:avLst/>
                          </a:prstGeom>
                        </pic:spPr>
                      </pic:pic>
                    </a:graphicData>
                  </a:graphic>
                </wp:inline>
              </w:drawing>
            </w:r>
          </w:p>
        </w:tc>
        <w:tc>
          <w:tcPr>
            <w:tcW w:w="0" w:type="auto"/>
            <w:vAlign w:val="center"/>
          </w:tcPr>
          <w:p w:rsidR="008C0FB5" w:rsidRDefault="008C0FB5" w:rsidP="00F04AA2">
            <w:pPr>
              <w:pStyle w:val="Zv-bodyreport"/>
              <w:spacing w:line="233" w:lineRule="auto"/>
              <w:ind w:firstLine="0"/>
              <w:jc w:val="center"/>
              <w:rPr>
                <w:szCs w:val="20"/>
              </w:rPr>
            </w:pPr>
            <w:r>
              <w:rPr>
                <w:noProof/>
                <w:szCs w:val="20"/>
              </w:rPr>
              <w:drawing>
                <wp:inline distT="0" distB="0" distL="0" distR="0">
                  <wp:extent cx="2307600" cy="178200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b.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7600" cy="1782000"/>
                          </a:xfrm>
                          <a:prstGeom prst="rect">
                            <a:avLst/>
                          </a:prstGeom>
                        </pic:spPr>
                      </pic:pic>
                    </a:graphicData>
                  </a:graphic>
                </wp:inline>
              </w:drawing>
            </w:r>
          </w:p>
        </w:tc>
      </w:tr>
      <w:tr w:rsidR="008C0FB5" w:rsidTr="00CC63D9">
        <w:trPr>
          <w:jc w:val="center"/>
        </w:trPr>
        <w:tc>
          <w:tcPr>
            <w:tcW w:w="0" w:type="auto"/>
            <w:vAlign w:val="center"/>
          </w:tcPr>
          <w:p w:rsidR="008C0FB5" w:rsidRDefault="008C0FB5" w:rsidP="00F04AA2">
            <w:pPr>
              <w:pStyle w:val="Zv-bodyreport"/>
              <w:spacing w:line="233" w:lineRule="auto"/>
              <w:ind w:firstLine="0"/>
              <w:jc w:val="center"/>
              <w:rPr>
                <w:szCs w:val="20"/>
              </w:rPr>
            </w:pPr>
            <w:r>
              <w:rPr>
                <w:noProof/>
                <w:szCs w:val="20"/>
              </w:rPr>
              <w:drawing>
                <wp:inline distT="0" distB="0" distL="0" distR="0">
                  <wp:extent cx="2307600" cy="178200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c.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7600" cy="1782000"/>
                          </a:xfrm>
                          <a:prstGeom prst="rect">
                            <a:avLst/>
                          </a:prstGeom>
                        </pic:spPr>
                      </pic:pic>
                    </a:graphicData>
                  </a:graphic>
                </wp:inline>
              </w:drawing>
            </w:r>
          </w:p>
        </w:tc>
        <w:tc>
          <w:tcPr>
            <w:tcW w:w="0" w:type="auto"/>
            <w:vAlign w:val="center"/>
          </w:tcPr>
          <w:p w:rsidR="008C0FB5" w:rsidRDefault="008C0FB5" w:rsidP="00F04AA2">
            <w:pPr>
              <w:pStyle w:val="Zv-bodyreport"/>
              <w:spacing w:line="233" w:lineRule="auto"/>
              <w:ind w:firstLine="0"/>
              <w:jc w:val="center"/>
              <w:rPr>
                <w:szCs w:val="20"/>
              </w:rPr>
            </w:pPr>
            <w:r>
              <w:rPr>
                <w:noProof/>
                <w:szCs w:val="20"/>
              </w:rPr>
              <w:drawing>
                <wp:inline distT="0" distB="0" distL="0" distR="0">
                  <wp:extent cx="2307600" cy="1782000"/>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07600" cy="1782000"/>
                          </a:xfrm>
                          <a:prstGeom prst="rect">
                            <a:avLst/>
                          </a:prstGeom>
                        </pic:spPr>
                      </pic:pic>
                    </a:graphicData>
                  </a:graphic>
                </wp:inline>
              </w:drawing>
            </w:r>
          </w:p>
        </w:tc>
      </w:tr>
    </w:tbl>
    <w:p w:rsidR="008C0FB5" w:rsidRPr="00FD0D1E" w:rsidRDefault="008C0FB5" w:rsidP="00F04AA2">
      <w:pPr>
        <w:pStyle w:val="a6"/>
        <w:spacing w:line="233" w:lineRule="auto"/>
        <w:jc w:val="center"/>
        <w:rPr>
          <w:lang w:val="en-US"/>
        </w:rPr>
      </w:pPr>
      <w:r w:rsidRPr="00FD0D1E">
        <w:rPr>
          <w:lang w:val="en-US"/>
        </w:rPr>
        <w:t xml:space="preserve">Figure 1. (a), (b) evolution of the </w:t>
      </w:r>
      <w:r>
        <w:rPr>
          <w:lang w:val="en-US"/>
        </w:rPr>
        <w:t>integral</w:t>
      </w:r>
      <w:r w:rsidRPr="00FD0D1E">
        <w:rPr>
          <w:lang w:val="en-US"/>
        </w:rPr>
        <w:t xml:space="preserve"> density for the 1st and 2nd series of experiments; (c), (d) diffusion coefficient D and particle pinch velocity V for OH (std) and ECR (dyn) </w:t>
      </w:r>
      <w:r>
        <w:rPr>
          <w:lang w:val="en-US"/>
        </w:rPr>
        <w:t>regimes</w:t>
      </w:r>
      <w:r w:rsidRPr="00FD0D1E">
        <w:rPr>
          <w:lang w:val="en-US"/>
        </w:rPr>
        <w:t xml:space="preserve"> for the 1st and 2nd series of experiments</w:t>
      </w:r>
    </w:p>
    <w:p w:rsidR="008C0FB5" w:rsidRPr="00F6050C" w:rsidRDefault="008C0FB5" w:rsidP="00F04AA2">
      <w:pPr>
        <w:pStyle w:val="Zv-TitleReferences-en"/>
        <w:spacing w:line="233" w:lineRule="auto"/>
        <w:rPr>
          <w:lang w:val="en-US"/>
        </w:rPr>
      </w:pPr>
      <w:r>
        <w:rPr>
          <w:lang w:val="en-US"/>
        </w:rPr>
        <w:t>References</w:t>
      </w:r>
    </w:p>
    <w:p w:rsidR="008C0FB5" w:rsidRPr="00E333AD" w:rsidRDefault="008C0FB5" w:rsidP="00F04AA2">
      <w:pPr>
        <w:pStyle w:val="Zv-References-en"/>
        <w:spacing w:line="233" w:lineRule="auto"/>
      </w:pPr>
      <w:r>
        <w:t>V.F Andreev</w:t>
      </w:r>
      <w:r w:rsidRPr="00E84444">
        <w:t xml:space="preserve"> </w:t>
      </w:r>
      <w:r>
        <w:t>et</w:t>
      </w:r>
      <w:r w:rsidRPr="00E84444">
        <w:t xml:space="preserve"> </w:t>
      </w:r>
      <w:r>
        <w:t>al</w:t>
      </w:r>
      <w:r w:rsidRPr="00E84444">
        <w:t xml:space="preserve">. – </w:t>
      </w:r>
      <w:r>
        <w:t>Plasma</w:t>
      </w:r>
      <w:r w:rsidRPr="00E84444">
        <w:t xml:space="preserve"> </w:t>
      </w:r>
      <w:r>
        <w:t>Phys</w:t>
      </w:r>
      <w:r w:rsidRPr="00E84444">
        <w:t xml:space="preserve">. </w:t>
      </w:r>
      <w:r>
        <w:t>and</w:t>
      </w:r>
      <w:r w:rsidRPr="00E84444">
        <w:t xml:space="preserve"> </w:t>
      </w:r>
      <w:r>
        <w:t>Control</w:t>
      </w:r>
      <w:r w:rsidRPr="00E84444">
        <w:t xml:space="preserve">. </w:t>
      </w:r>
      <w:r>
        <w:t>Fusion</w:t>
      </w:r>
      <w:r w:rsidRPr="00E84444">
        <w:t>, 2016, 58</w:t>
      </w:r>
      <w:r>
        <w:t>, 055008</w:t>
      </w:r>
      <w:r w:rsidRPr="00E84444">
        <w:t xml:space="preserve"> (</w:t>
      </w:r>
      <w:r>
        <w:t>12pp</w:t>
      </w:r>
      <w:r w:rsidRPr="00E84444">
        <w:t>)</w:t>
      </w:r>
    </w:p>
    <w:p w:rsidR="008C0FB5" w:rsidRPr="006F5211" w:rsidRDefault="008C0FB5" w:rsidP="00F04AA2">
      <w:pPr>
        <w:pStyle w:val="Zv-References-en"/>
        <w:spacing w:line="233" w:lineRule="auto"/>
        <w:rPr>
          <w:szCs w:val="24"/>
        </w:rPr>
      </w:pPr>
      <w:bookmarkStart w:id="0" w:name="_GoBack"/>
      <w:bookmarkEnd w:id="0"/>
      <w:r>
        <w:rPr>
          <w:iCs/>
          <w:szCs w:val="24"/>
          <w:lang w:eastAsia="ru-RU"/>
        </w:rPr>
        <w:lastRenderedPageBreak/>
        <w:t>Kasjanova N.V.</w:t>
      </w:r>
      <w:r w:rsidRPr="009F4739">
        <w:rPr>
          <w:iCs/>
          <w:szCs w:val="24"/>
          <w:lang w:eastAsia="ru-RU"/>
        </w:rPr>
        <w:t xml:space="preserve">, </w:t>
      </w:r>
      <w:r>
        <w:rPr>
          <w:iCs/>
          <w:szCs w:val="24"/>
          <w:lang w:eastAsia="ru-RU"/>
        </w:rPr>
        <w:t>Andreev</w:t>
      </w:r>
      <w:r w:rsidRPr="009F4739">
        <w:rPr>
          <w:iCs/>
          <w:szCs w:val="24"/>
          <w:lang w:eastAsia="ru-RU"/>
        </w:rPr>
        <w:t xml:space="preserve"> </w:t>
      </w:r>
      <w:r>
        <w:rPr>
          <w:iCs/>
          <w:szCs w:val="24"/>
          <w:lang w:eastAsia="ru-RU"/>
        </w:rPr>
        <w:t>V</w:t>
      </w:r>
      <w:r w:rsidRPr="009F4739">
        <w:rPr>
          <w:iCs/>
          <w:szCs w:val="24"/>
          <w:lang w:eastAsia="ru-RU"/>
        </w:rPr>
        <w:t>.</w:t>
      </w:r>
      <w:r>
        <w:rPr>
          <w:iCs/>
          <w:szCs w:val="24"/>
          <w:lang w:eastAsia="ru-RU"/>
        </w:rPr>
        <w:t>F</w:t>
      </w:r>
      <w:r w:rsidRPr="009F4739">
        <w:rPr>
          <w:iCs/>
          <w:szCs w:val="24"/>
          <w:lang w:eastAsia="ru-RU"/>
        </w:rPr>
        <w:t>.</w:t>
      </w:r>
      <w:r w:rsidRPr="009F4739">
        <w:rPr>
          <w:szCs w:val="24"/>
          <w:lang w:eastAsia="ru-RU"/>
        </w:rPr>
        <w:t xml:space="preserve"> — </w:t>
      </w:r>
      <w:r>
        <w:rPr>
          <w:szCs w:val="24"/>
          <w:lang w:eastAsia="ru-RU"/>
        </w:rPr>
        <w:t>VANT</w:t>
      </w:r>
      <w:r w:rsidRPr="009F4739">
        <w:rPr>
          <w:szCs w:val="24"/>
          <w:lang w:eastAsia="ru-RU"/>
        </w:rPr>
        <w:t xml:space="preserve">. </w:t>
      </w:r>
      <w:r>
        <w:rPr>
          <w:szCs w:val="24"/>
          <w:lang w:eastAsia="ru-RU"/>
        </w:rPr>
        <w:t>Ser</w:t>
      </w:r>
      <w:r w:rsidRPr="009F4739">
        <w:rPr>
          <w:szCs w:val="24"/>
          <w:lang w:eastAsia="ru-RU"/>
        </w:rPr>
        <w:t xml:space="preserve">. </w:t>
      </w:r>
      <w:r>
        <w:rPr>
          <w:szCs w:val="24"/>
          <w:lang w:eastAsia="ru-RU"/>
        </w:rPr>
        <w:t>Thermonuclear fusion</w:t>
      </w:r>
      <w:r w:rsidRPr="006F5211">
        <w:rPr>
          <w:szCs w:val="24"/>
          <w:lang w:eastAsia="ru-RU"/>
        </w:rPr>
        <w:t xml:space="preserve">, 2012, </w:t>
      </w:r>
      <w:r>
        <w:rPr>
          <w:szCs w:val="24"/>
          <w:lang w:eastAsia="ru-RU"/>
        </w:rPr>
        <w:t>N</w:t>
      </w:r>
      <w:r w:rsidRPr="006F5211">
        <w:rPr>
          <w:szCs w:val="24"/>
          <w:lang w:eastAsia="ru-RU"/>
        </w:rPr>
        <w:t xml:space="preserve">. 4, </w:t>
      </w:r>
      <w:r>
        <w:rPr>
          <w:szCs w:val="24"/>
          <w:lang w:eastAsia="ru-RU"/>
        </w:rPr>
        <w:t>p</w:t>
      </w:r>
      <w:r w:rsidRPr="006F5211">
        <w:rPr>
          <w:szCs w:val="24"/>
          <w:lang w:eastAsia="ru-RU"/>
        </w:rPr>
        <w:t>. 71</w:t>
      </w:r>
    </w:p>
    <w:sectPr w:rsidR="008C0FB5" w:rsidRPr="006F5211"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C0" w:rsidRDefault="005373C0">
      <w:r>
        <w:separator/>
      </w:r>
    </w:p>
  </w:endnote>
  <w:endnote w:type="continuationSeparator" w:id="0">
    <w:p w:rsidR="005373C0" w:rsidRDefault="00537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1A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1A6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04AA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C0" w:rsidRDefault="005373C0">
      <w:r>
        <w:separator/>
      </w:r>
    </w:p>
  </w:footnote>
  <w:footnote w:type="continuationSeparator" w:id="0">
    <w:p w:rsidR="005373C0" w:rsidRDefault="005373C0">
      <w:r>
        <w:continuationSeparator/>
      </w:r>
    </w:p>
  </w:footnote>
  <w:footnote w:id="1">
    <w:p w:rsidR="00C26473" w:rsidRPr="00C26473" w:rsidRDefault="00C26473">
      <w:pPr>
        <w:pStyle w:val="a9"/>
        <w:rPr>
          <w:lang w:val="en-US"/>
        </w:rPr>
      </w:pPr>
      <w:r w:rsidRPr="00C26473">
        <w:rPr>
          <w:rStyle w:val="ab"/>
          <w:lang w:val="en-US"/>
        </w:rPr>
        <w:t>*)</w:t>
      </w:r>
      <w:r w:rsidRPr="00C26473">
        <w:rPr>
          <w:lang w:val="en-US"/>
        </w:rPr>
        <w:t xml:space="preserve"> </w:t>
      </w:r>
      <w:hyperlink r:id="rId1" w:history="1">
        <w:r w:rsidRPr="00C2647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61A6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373C0"/>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373C0"/>
    <w:rsid w:val="00567C6F"/>
    <w:rsid w:val="00573BAD"/>
    <w:rsid w:val="0058676C"/>
    <w:rsid w:val="005A1B22"/>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C0FB5"/>
    <w:rsid w:val="00906FF7"/>
    <w:rsid w:val="009D3AC4"/>
    <w:rsid w:val="00AE6185"/>
    <w:rsid w:val="00B622ED"/>
    <w:rsid w:val="00B9584E"/>
    <w:rsid w:val="00C103CD"/>
    <w:rsid w:val="00C232A0"/>
    <w:rsid w:val="00C26473"/>
    <w:rsid w:val="00C5751F"/>
    <w:rsid w:val="00D25312"/>
    <w:rsid w:val="00D47F19"/>
    <w:rsid w:val="00D61A64"/>
    <w:rsid w:val="00D75E08"/>
    <w:rsid w:val="00D900FB"/>
    <w:rsid w:val="00D92E54"/>
    <w:rsid w:val="00DC6E63"/>
    <w:rsid w:val="00E118BE"/>
    <w:rsid w:val="00E7021A"/>
    <w:rsid w:val="00E87733"/>
    <w:rsid w:val="00EE371E"/>
    <w:rsid w:val="00EF07A9"/>
    <w:rsid w:val="00F04AA2"/>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FB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8C0FB5"/>
    <w:rPr>
      <w:color w:val="0000FF" w:themeColor="hyperlink"/>
      <w:u w:val="single"/>
    </w:rPr>
  </w:style>
  <w:style w:type="table" w:styleId="a8">
    <w:name w:val="Table Grid"/>
    <w:basedOn w:val="a1"/>
    <w:rsid w:val="008C0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C26473"/>
    <w:rPr>
      <w:sz w:val="20"/>
      <w:szCs w:val="20"/>
    </w:rPr>
  </w:style>
  <w:style w:type="character" w:customStyle="1" w:styleId="aa">
    <w:name w:val="Текст сноски Знак"/>
    <w:basedOn w:val="a0"/>
    <w:link w:val="a9"/>
    <w:rsid w:val="00C26473"/>
  </w:style>
  <w:style w:type="character" w:styleId="ab">
    <w:name w:val="footnote reference"/>
    <w:basedOn w:val="a0"/>
    <w:rsid w:val="00C264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uyor@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E-As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F71FE-F324-41C6-AFF4-1CDF822A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341</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THE DIFFUSION COEFFICIENT AND THE PARTICLE PINCH VELOCITY AFTER THE CENTRAL ECR HEATING ON THE T-10</dc:title>
  <dc:creator/>
  <cp:lastModifiedBy>Сатунин</cp:lastModifiedBy>
  <cp:revision>3</cp:revision>
  <cp:lastPrinted>1601-01-01T00:00:00Z</cp:lastPrinted>
  <dcterms:created xsi:type="dcterms:W3CDTF">2023-02-15T12:08:00Z</dcterms:created>
  <dcterms:modified xsi:type="dcterms:W3CDTF">2023-05-24T12:35:00Z</dcterms:modified>
</cp:coreProperties>
</file>