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4C" w:rsidRPr="00D2204C" w:rsidRDefault="008523F5" w:rsidP="008523F5">
      <w:pPr>
        <w:pStyle w:val="Zv-Titlereport"/>
        <w:spacing w:line="238" w:lineRule="auto"/>
        <w:ind w:right="-1"/>
        <w:rPr>
          <w:lang w:val="en-US"/>
        </w:rPr>
      </w:pPr>
      <w:r w:rsidRPr="008523F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5168;mso-position-horizontal:absolute" stroked="f" strokecolor="red">
            <v:textbox style="mso-next-textbox:#_x0000_s1026">
              <w:txbxContent>
                <w:p w:rsidR="008523F5" w:rsidRPr="00824DF5" w:rsidRDefault="008523F5" w:rsidP="003B6459">
                  <w:pPr>
                    <w:spacing w:before="80"/>
                    <w:rPr>
                      <w:sz w:val="22"/>
                      <w:szCs w:val="22"/>
                    </w:rPr>
                  </w:pPr>
                  <w:r w:rsidRPr="00824DF5">
                    <w:rPr>
                      <w:sz w:val="22"/>
                      <w:szCs w:val="22"/>
                    </w:rPr>
                    <w:t xml:space="preserve">DOI: </w:t>
                  </w:r>
                  <w:r w:rsidRPr="008523F5">
                    <w:rPr>
                      <w:sz w:val="22"/>
                      <w:szCs w:val="22"/>
                    </w:rPr>
                    <w:t>10.34854/ICPAF.2023.50.2023.1.1.051</w:t>
                  </w:r>
                </w:p>
              </w:txbxContent>
            </v:textbox>
            <w10:anchorlock/>
          </v:shape>
        </w:pict>
      </w:r>
      <w:r w:rsidR="00D2204C" w:rsidRPr="00D2204C">
        <w:rPr>
          <w:lang w:val="en-US"/>
        </w:rPr>
        <w:t>Influence of Peripheral Plasma Parameters on the Intensity of Ion Cyclotron Emission in the Ohmic regime IN the TUMAN-3M Tokamak</w:t>
      </w:r>
      <w:r>
        <w:rPr>
          <w:lang w:val="en-US"/>
        </w:rPr>
        <w:t xml:space="preserve"> </w:t>
      </w:r>
      <w:r>
        <w:rPr>
          <w:rStyle w:val="aa"/>
          <w:lang w:val="en-US"/>
        </w:rPr>
        <w:footnoteReference w:customMarkFollows="1" w:id="1"/>
        <w:t>*)</w:t>
      </w:r>
    </w:p>
    <w:p w:rsidR="00D2204C" w:rsidRPr="00D2204C" w:rsidRDefault="00D2204C" w:rsidP="008523F5">
      <w:pPr>
        <w:pStyle w:val="Zv-Author"/>
        <w:spacing w:line="238" w:lineRule="auto"/>
        <w:rPr>
          <w:lang w:val="en-US"/>
        </w:rPr>
      </w:pPr>
      <w:r w:rsidRPr="00D2204C">
        <w:rPr>
          <w:bCs w:val="0"/>
          <w:iCs w:val="0"/>
          <w:u w:val="single"/>
          <w:lang w:val="en-US"/>
        </w:rPr>
        <w:t>Lebedev S.V.</w:t>
      </w:r>
      <w:r w:rsidRPr="00D2204C">
        <w:rPr>
          <w:lang w:val="en-US"/>
        </w:rPr>
        <w:t>, Abdullina G.I., Askinazi L.G., Belokurov A.A., Zhubr N.A., Kornev V.A., Krikunov S.V., Melnik A.D., Razumenko D.V., Smirnov A.I., Tukachinsky A.S., Chernyshev F.V.</w:t>
      </w:r>
    </w:p>
    <w:p w:rsidR="00D2204C" w:rsidRDefault="00D2204C" w:rsidP="008523F5">
      <w:pPr>
        <w:pStyle w:val="Zv-Organization"/>
        <w:spacing w:line="238" w:lineRule="auto"/>
        <w:rPr>
          <w:lang w:val="en-US"/>
        </w:rPr>
      </w:pPr>
      <w:r w:rsidRPr="00D2204C">
        <w:rPr>
          <w:lang w:val="en-US"/>
        </w:rPr>
        <w:t xml:space="preserve">Ioffe Institute, Russian Federation, St Petersburg, </w:t>
      </w:r>
      <w:hyperlink r:id="rId8" w:history="1">
        <w:r w:rsidRPr="00DB246C">
          <w:rPr>
            <w:rStyle w:val="a7"/>
            <w:lang w:val="en-US"/>
          </w:rPr>
          <w:t>sergei.lebedev@mail.ioffe.ru</w:t>
        </w:r>
      </w:hyperlink>
    </w:p>
    <w:p w:rsidR="00D2204C" w:rsidRPr="00A967E2" w:rsidRDefault="00D2204C" w:rsidP="008523F5">
      <w:pPr>
        <w:pStyle w:val="Zv-bodyreport"/>
        <w:spacing w:line="238" w:lineRule="auto"/>
        <w:rPr>
          <w:lang w:val="en-US"/>
        </w:rPr>
      </w:pPr>
      <w:r w:rsidRPr="008523F5">
        <w:rPr>
          <w:lang w:val="en-US"/>
        </w:rPr>
        <w:t xml:space="preserve">Ion Cyclotron Emission (ICE) in the range </w:t>
      </w:r>
      <w:bookmarkStart w:id="0" w:name="_GoBack"/>
      <w:bookmarkEnd w:id="0"/>
      <w:r w:rsidRPr="008523F5">
        <w:rPr>
          <w:lang w:val="en-US"/>
        </w:rPr>
        <w:t xml:space="preserve">of 5-125 MHz was observed in the ohmic regime in the TUMAN-3M tokamak [1,2]. ICE is characterized by frequency dependence on the magnetic probe location </w:t>
      </w:r>
      <w:r w:rsidRPr="00A967E2">
        <w:rPr>
          <w:lang w:val="en-US"/>
        </w:rPr>
        <w:t>(</w:t>
      </w:r>
      <m:oMath>
        <m:r>
          <w:rPr>
            <w:rFonts w:ascii="Cambria Math" w:hAnsi="Cambria Math"/>
          </w:rPr>
          <m:t>f</m:t>
        </m:r>
        <m:r>
          <w:rPr>
            <w:rFonts w:ascii="Cambria Math" w:hAnsi="Cambria Math"/>
            <w:lang w:val="en-US"/>
          </w:rPr>
          <m:t>∝</m:t>
        </m:r>
        <m:f>
          <m:fPr>
            <m:type m:val="lin"/>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R</m:t>
                </m:r>
              </m:e>
              <m:sub>
                <m:r>
                  <w:rPr>
                    <w:rFonts w:ascii="Cambria Math" w:hAnsi="Cambria Math"/>
                  </w:rPr>
                  <m:t>pr</m:t>
                </m:r>
              </m:sub>
            </m:sSub>
          </m:den>
        </m:f>
      </m:oMath>
      <w:r w:rsidRPr="00A967E2">
        <w:rPr>
          <w:lang w:val="en-US"/>
        </w:rPr>
        <w:t>)</w:t>
      </w:r>
      <w:r w:rsidRPr="008523F5">
        <w:rPr>
          <w:lang w:val="en-US"/>
        </w:rPr>
        <w:t>, as well as a large number of equidistant harmonics (up to 15). Observation of the emission in hydrogen and helium discharges and in the absence of auxiliary heating makes it possible to exclude from consideration as possible mechanisms of ICE generation instabilities excited in the presence of energetic particles.</w:t>
      </w:r>
    </w:p>
    <w:p w:rsidR="00D2204C" w:rsidRPr="001C748E" w:rsidRDefault="00D2204C" w:rsidP="008523F5">
      <w:pPr>
        <w:pStyle w:val="Zv-bodyreport"/>
        <w:spacing w:line="238" w:lineRule="auto"/>
        <w:rPr>
          <w:lang w:val="en-US"/>
        </w:rPr>
      </w:pPr>
      <w:r w:rsidRPr="008523F5">
        <w:rPr>
          <w:lang w:val="en-US"/>
        </w:rPr>
        <w:t>Experiments [1] showed that the ohmic ICE generation region is located on the plasma periphery, and its frequency corresponds to the IC Resonance frequency in the vicinity of the detecting probe. In [1], a possible mechanism of instability responsible for the generation of ICE, i.e., the development of an ion cyclotron drift instability (ICDI) [3], was considered. According to [3], ICDI develops when the following criterion is met:</w:t>
      </w:r>
    </w:p>
    <w:p w:rsidR="00D2204C" w:rsidRDefault="00D2204C" w:rsidP="008523F5">
      <w:pPr>
        <w:pStyle w:val="Zv-formula"/>
        <w:spacing w:line="238" w:lineRule="auto"/>
        <w:rPr>
          <w:lang w:val="en-US"/>
        </w:rPr>
      </w:pPr>
      <w:r>
        <w:rPr>
          <w:lang w:val="en-US"/>
        </w:rPr>
        <w:t xml:space="preserve"> </w:t>
      </w:r>
      <w:r>
        <w:rPr>
          <w:lang w:val="en-US"/>
        </w:rPr>
        <w:tab/>
      </w:r>
      <m:oMath>
        <m:f>
          <m:fPr>
            <m:type m:val="lin"/>
            <m:ctrlPr>
              <w:rPr>
                <w:rFonts w:ascii="Cambria Math" w:eastAsia="Calibri" w:hAnsi="Cambria Math"/>
                <w:lang w:val="en-US"/>
              </w:rPr>
            </m:ctrlPr>
          </m:fPr>
          <m:num>
            <m:sSub>
              <m:sSubPr>
                <m:ctrlPr>
                  <w:rPr>
                    <w:rFonts w:ascii="Cambria Math" w:eastAsia="Calibri" w:hAnsi="Cambria Math"/>
                    <w:lang w:val="en-US"/>
                  </w:rPr>
                </m:ctrlPr>
              </m:sSubPr>
              <m:e>
                <m:r>
                  <w:rPr>
                    <w:rFonts w:ascii="Cambria Math" w:eastAsia="Calibri" w:hAnsi="Cambria Math"/>
                    <w:lang w:val="en-US"/>
                  </w:rPr>
                  <m:t>ρ</m:t>
                </m:r>
              </m:e>
              <m:sub>
                <m:r>
                  <w:rPr>
                    <w:rFonts w:ascii="Cambria Math" w:eastAsia="Calibri" w:hAnsi="Cambria Math"/>
                    <w:lang w:val="en-US"/>
                  </w:rPr>
                  <m:t>i</m:t>
                </m:r>
              </m:sub>
            </m:sSub>
          </m:num>
          <m:den>
            <m:r>
              <w:rPr>
                <w:rFonts w:ascii="Cambria Math" w:eastAsia="Calibri" w:hAnsi="Cambria Math"/>
                <w:lang w:val="en-US"/>
              </w:rPr>
              <m:t>α</m:t>
            </m:r>
            <m:r>
              <m:rPr>
                <m:sty m:val="p"/>
              </m:rPr>
              <w:rPr>
                <w:rFonts w:ascii="Cambria Math" w:eastAsia="Calibri" w:hAnsi="Cambria Math"/>
                <w:lang w:val="en-US"/>
              </w:rPr>
              <m:t>&gt;</m:t>
            </m:r>
            <m:r>
              <w:rPr>
                <w:rFonts w:ascii="Cambria Math" w:eastAsia="Calibri" w:hAnsi="Cambria Math"/>
                <w:lang w:val="en-US"/>
              </w:rPr>
              <m:t>2</m:t>
            </m:r>
            <m:sSup>
              <m:sSupPr>
                <m:ctrlPr>
                  <w:rPr>
                    <w:rFonts w:ascii="Cambria Math" w:eastAsia="Calibri" w:hAnsi="Cambria Math"/>
                    <w:lang w:val="en-GB"/>
                  </w:rPr>
                </m:ctrlPr>
              </m:sSupPr>
              <m:e>
                <m:d>
                  <m:dPr>
                    <m:ctrlPr>
                      <w:rPr>
                        <w:rFonts w:ascii="Cambria Math" w:eastAsia="Calibri" w:hAnsi="Cambria Math"/>
                        <w:lang w:val="en-GB"/>
                      </w:rPr>
                    </m:ctrlPr>
                  </m:dPr>
                  <m:e>
                    <m:f>
                      <m:fPr>
                        <m:type m:val="lin"/>
                        <m:ctrlPr>
                          <w:rPr>
                            <w:rFonts w:ascii="Cambria Math" w:eastAsia="Calibri" w:hAnsi="Cambria Math"/>
                            <w:lang w:val="en-GB"/>
                          </w:rPr>
                        </m:ctrlPr>
                      </m:fPr>
                      <m:num>
                        <m:sSub>
                          <m:sSubPr>
                            <m:ctrlPr>
                              <w:rPr>
                                <w:rFonts w:ascii="Cambria Math" w:eastAsia="Calibri" w:hAnsi="Cambria Math"/>
                                <w:lang w:val="en-GB"/>
                              </w:rPr>
                            </m:ctrlPr>
                          </m:sSubPr>
                          <m:e>
                            <m:r>
                              <w:rPr>
                                <w:rFonts w:ascii="Cambria Math" w:eastAsia="Calibri" w:hAnsi="Cambria Math"/>
                                <w:lang w:val="en-GB"/>
                              </w:rPr>
                              <m:t>m</m:t>
                            </m:r>
                          </m:e>
                          <m:sub>
                            <m:r>
                              <w:rPr>
                                <w:rFonts w:ascii="Cambria Math" w:eastAsia="Calibri" w:hAnsi="Cambria Math"/>
                                <w:lang w:val="en-GB"/>
                              </w:rPr>
                              <m:t>e</m:t>
                            </m:r>
                          </m:sub>
                        </m:sSub>
                      </m:num>
                      <m:den>
                        <m:sSub>
                          <m:sSubPr>
                            <m:ctrlPr>
                              <w:rPr>
                                <w:rFonts w:ascii="Cambria Math" w:eastAsia="Calibri" w:hAnsi="Cambria Math"/>
                                <w:lang w:val="en-GB"/>
                              </w:rPr>
                            </m:ctrlPr>
                          </m:sSubPr>
                          <m:e>
                            <m:r>
                              <w:rPr>
                                <w:rFonts w:ascii="Cambria Math" w:eastAsia="Calibri" w:hAnsi="Cambria Math"/>
                                <w:lang w:val="en-GB"/>
                              </w:rPr>
                              <m:t>m</m:t>
                            </m:r>
                          </m:e>
                          <m:sub>
                            <m:r>
                              <w:rPr>
                                <w:rFonts w:ascii="Cambria Math" w:eastAsia="Calibri" w:hAnsi="Cambria Math"/>
                                <w:lang w:val="en-GB"/>
                              </w:rPr>
                              <m:t>i</m:t>
                            </m:r>
                          </m:sub>
                        </m:sSub>
                      </m:den>
                    </m:f>
                  </m:e>
                </m:d>
              </m:e>
              <m:sup>
                <m:f>
                  <m:fPr>
                    <m:type m:val="lin"/>
                    <m:ctrlPr>
                      <w:rPr>
                        <w:rFonts w:ascii="Cambria Math" w:eastAsia="Calibri" w:hAnsi="Cambria Math"/>
                        <w:lang w:val="en-GB"/>
                      </w:rPr>
                    </m:ctrlPr>
                  </m:fPr>
                  <m:num>
                    <m:r>
                      <m:rPr>
                        <m:sty m:val="p"/>
                      </m:rPr>
                      <w:rPr>
                        <w:rFonts w:ascii="Cambria Math" w:eastAsia="Calibri" w:hAnsi="Cambria Math"/>
                        <w:lang w:val="en-US"/>
                      </w:rPr>
                      <m:t>1</m:t>
                    </m:r>
                  </m:num>
                  <m:den>
                    <m:r>
                      <m:rPr>
                        <m:sty m:val="p"/>
                      </m:rPr>
                      <w:rPr>
                        <w:rFonts w:ascii="Cambria Math" w:eastAsia="Calibri" w:hAnsi="Cambria Math"/>
                        <w:lang w:val="en-US"/>
                      </w:rPr>
                      <m:t>2</m:t>
                    </m:r>
                  </m:den>
                </m:f>
              </m:sup>
            </m:sSup>
          </m:den>
        </m:f>
      </m:oMath>
      <w:r>
        <w:rPr>
          <w:lang w:val="en-US"/>
        </w:rPr>
        <w:tab/>
        <w:t>(1)</w:t>
      </w:r>
    </w:p>
    <w:p w:rsidR="00D2204C" w:rsidRPr="00CC1045" w:rsidRDefault="00D2204C" w:rsidP="008523F5">
      <w:pPr>
        <w:pStyle w:val="Zv-bodyreportcont"/>
        <w:spacing w:line="238" w:lineRule="auto"/>
        <w:rPr>
          <w:lang w:val="en-US"/>
        </w:rPr>
      </w:pPr>
      <w:r w:rsidRPr="008523F5">
        <w:rPr>
          <w:lang w:val="en-US"/>
        </w:rPr>
        <w:t xml:space="preserve">where </w:t>
      </w:r>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i</m:t>
            </m:r>
          </m:sub>
        </m:sSub>
      </m:oMath>
      <w:r w:rsidRPr="008523F5">
        <w:rPr>
          <w:lang w:val="en-US"/>
        </w:rPr>
        <w:t xml:space="preserve"> is the ion Larmor radius, </w:t>
      </w:r>
      <m:oMath>
        <m:r>
          <w:rPr>
            <w:rFonts w:ascii="Cambria Math" w:hAnsi="Cambria Math"/>
            <w:lang w:val="en-GB"/>
          </w:rPr>
          <m:t>α</m:t>
        </m:r>
        <m:r>
          <w:rPr>
            <w:rFonts w:ascii="Cambria Math" w:hAnsi="Cambria Math"/>
            <w:lang w:val="en-US"/>
          </w:rPr>
          <m:t>=</m:t>
        </m:r>
        <m:f>
          <m:fPr>
            <m:type m:val="lin"/>
            <m:ctrlPr>
              <w:rPr>
                <w:rFonts w:ascii="Cambria Math" w:hAnsi="Cambria Math"/>
                <w:i/>
                <w:lang w:val="en-GB"/>
              </w:rPr>
            </m:ctrlPr>
          </m:fPr>
          <m:num>
            <m:r>
              <w:rPr>
                <w:rFonts w:ascii="Cambria Math" w:hAnsi="Cambria Math"/>
                <w:lang w:val="en-GB"/>
              </w:rPr>
              <m:t>n</m:t>
            </m:r>
          </m:num>
          <m:den>
            <m:d>
              <m:dPr>
                <m:ctrlPr>
                  <w:rPr>
                    <w:rFonts w:ascii="Cambria Math" w:hAnsi="Cambria Math"/>
                    <w:i/>
                    <w:lang w:val="en-GB"/>
                  </w:rPr>
                </m:ctrlPr>
              </m:dPr>
              <m:e>
                <m:f>
                  <m:fPr>
                    <m:type m:val="lin"/>
                    <m:ctrlPr>
                      <w:rPr>
                        <w:rFonts w:ascii="Cambria Math" w:hAnsi="Cambria Math"/>
                        <w:i/>
                        <w:lang w:val="en-GB"/>
                      </w:rPr>
                    </m:ctrlPr>
                  </m:fPr>
                  <m:num>
                    <m:r>
                      <w:rPr>
                        <w:rFonts w:ascii="Cambria Math" w:hAnsi="Cambria Math"/>
                        <w:lang w:val="en-GB"/>
                      </w:rPr>
                      <m:t>∂n</m:t>
                    </m:r>
                  </m:num>
                  <m:den>
                    <m:r>
                      <w:rPr>
                        <w:rFonts w:ascii="Cambria Math" w:hAnsi="Cambria Math"/>
                        <w:lang w:val="en-GB"/>
                      </w:rPr>
                      <m:t>∂r</m:t>
                    </m:r>
                  </m:den>
                </m:f>
              </m:e>
            </m:d>
          </m:den>
        </m:f>
      </m:oMath>
      <w:r w:rsidRPr="008523F5">
        <w:rPr>
          <w:lang w:val="en-US"/>
        </w:rPr>
        <w:t xml:space="preserve"> is the radial scale of the density gradient,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e</m:t>
            </m:r>
          </m:sub>
        </m:sSub>
      </m:oMath>
      <w:r w:rsidRPr="00CC1045">
        <w:rPr>
          <w:rFonts w:eastAsiaTheme="minorEastAsia"/>
          <w:lang w:val="en-US"/>
        </w:rPr>
        <w:t xml:space="preserve"> </w:t>
      </w:r>
      <w:r>
        <w:rPr>
          <w:rFonts w:eastAsiaTheme="minorEastAsia"/>
          <w:lang w:val="en-US"/>
        </w:rPr>
        <w:t>and</w:t>
      </w:r>
      <w:r w:rsidRPr="00CC1045">
        <w:rPr>
          <w:rFonts w:eastAsiaTheme="minorEastAsia"/>
          <w:lang w:val="en-US"/>
        </w:rPr>
        <w:t xml:space="preserve">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i</m:t>
            </m:r>
          </m:sub>
        </m:sSub>
      </m:oMath>
      <w:r w:rsidRPr="008523F5">
        <w:rPr>
          <w:lang w:val="en-US"/>
        </w:rPr>
        <w:t xml:space="preserve"> are the electron and ion masses. The given criterion includes two plasma parameters: the peripheral temperature –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i-edge</m:t>
            </m:r>
          </m:sub>
        </m:sSub>
      </m:oMath>
      <w:r w:rsidRPr="008523F5">
        <w:rPr>
          <w:lang w:val="en-US"/>
        </w:rPr>
        <w:t xml:space="preserve"> through the Larmor radius and the relative density gradient at the periphery </w:t>
      </w:r>
      <w:r w:rsidRPr="00CC1045">
        <w:rPr>
          <w:rFonts w:eastAsiaTheme="minorEastAsia"/>
          <w:lang w:val="en-US"/>
        </w:rPr>
        <w:t xml:space="preserve"> </w:t>
      </w:r>
      <m:oMath>
        <m:sSub>
          <m:sSubPr>
            <m:ctrlPr>
              <w:rPr>
                <w:rFonts w:ascii="Cambria Math" w:eastAsiaTheme="minorEastAsia" w:hAnsi="Cambria Math" w:cstheme="minorBidi"/>
                <w:i/>
                <w:lang w:val="en-GB"/>
              </w:rPr>
            </m:ctrlPr>
          </m:sSubPr>
          <m:e>
            <m:d>
              <m:dPr>
                <m:begChr m:val=""/>
                <m:endChr m:val="|"/>
                <m:ctrlPr>
                  <w:rPr>
                    <w:rFonts w:ascii="Cambria Math" w:eastAsiaTheme="minorEastAsia" w:hAnsi="Cambria Math" w:cstheme="minorBidi"/>
                    <w:i/>
                    <w:lang w:val="en-GB"/>
                  </w:rPr>
                </m:ctrlPr>
              </m:dPr>
              <m:e>
                <m:f>
                  <m:fPr>
                    <m:type m:val="lin"/>
                    <m:ctrlPr>
                      <w:rPr>
                        <w:rFonts w:ascii="Cambria Math" w:hAnsi="Cambria Math"/>
                        <w:i/>
                        <w:lang w:val="en-GB"/>
                      </w:rPr>
                    </m:ctrlPr>
                  </m:fPr>
                  <m:num>
                    <m:r>
                      <w:rPr>
                        <w:rFonts w:ascii="Cambria Math" w:hAnsi="Cambria Math"/>
                        <w:lang w:val="en-GB"/>
                      </w:rPr>
                      <m:t>n</m:t>
                    </m:r>
                  </m:num>
                  <m:den>
                    <m:d>
                      <m:dPr>
                        <m:ctrlPr>
                          <w:rPr>
                            <w:rFonts w:ascii="Cambria Math" w:hAnsi="Cambria Math"/>
                            <w:i/>
                            <w:lang w:val="en-GB"/>
                          </w:rPr>
                        </m:ctrlPr>
                      </m:dPr>
                      <m:e>
                        <m:f>
                          <m:fPr>
                            <m:type m:val="lin"/>
                            <m:ctrlPr>
                              <w:rPr>
                                <w:rFonts w:ascii="Cambria Math" w:hAnsi="Cambria Math"/>
                                <w:i/>
                                <w:lang w:val="en-GB"/>
                              </w:rPr>
                            </m:ctrlPr>
                          </m:fPr>
                          <m:num>
                            <m:r>
                              <w:rPr>
                                <w:rFonts w:ascii="Cambria Math" w:hAnsi="Cambria Math"/>
                                <w:lang w:val="en-GB"/>
                              </w:rPr>
                              <m:t>∂n</m:t>
                            </m:r>
                          </m:num>
                          <m:den>
                            <m:r>
                              <w:rPr>
                                <w:rFonts w:ascii="Cambria Math" w:hAnsi="Cambria Math"/>
                                <w:lang w:val="en-GB"/>
                              </w:rPr>
                              <m:t>∂r</m:t>
                            </m:r>
                          </m:den>
                        </m:f>
                      </m:e>
                    </m:d>
                  </m:den>
                </m:f>
              </m:e>
            </m:d>
          </m:e>
          <m:sub>
            <m:r>
              <w:rPr>
                <w:rFonts w:ascii="Cambria Math" w:eastAsiaTheme="minorEastAsia" w:hAnsi="Cambria Math"/>
                <w:lang w:val="en-GB"/>
              </w:rPr>
              <m:t>edge</m:t>
            </m:r>
          </m:sub>
        </m:sSub>
      </m:oMath>
      <w:r w:rsidRPr="008523F5">
        <w:rPr>
          <w:lang w:val="en-US"/>
        </w:rPr>
        <w:t xml:space="preserve">. </w:t>
      </w:r>
    </w:p>
    <w:p w:rsidR="00D2204C" w:rsidRPr="00CC1045" w:rsidRDefault="00D2204C" w:rsidP="008523F5">
      <w:pPr>
        <w:pStyle w:val="Zv-bodyreport"/>
        <w:spacing w:line="238" w:lineRule="auto"/>
        <w:rPr>
          <w:lang w:val="en-US"/>
        </w:rPr>
      </w:pPr>
      <w:r w:rsidRPr="008523F5">
        <w:rPr>
          <w:lang w:val="en-US"/>
        </w:rPr>
        <w:t>The report presents experiments on the perturbation of peripheral plasma parameters in the regime of strong modulation of the working gas (hydrogen) puff rate and an analysis of the effect of this modulation on criterion (1). In experiments, a significant change in the intensity of ICE (~ 8-fold) was found during the modulation of the puff, see Fig.1.</w:t>
      </w:r>
    </w:p>
    <w:p w:rsidR="00D2204C" w:rsidRDefault="00D2204C" w:rsidP="008523F5">
      <w:pPr>
        <w:pStyle w:val="Zv-bodyreportcont"/>
        <w:spacing w:line="238" w:lineRule="auto"/>
        <w:rPr>
          <w:lang w:val="en-US"/>
        </w:rPr>
      </w:pPr>
      <w:r w:rsidRPr="0011495F">
        <w:rPr>
          <w:rFonts w:eastAsia="Calibri"/>
          <w:noProof/>
          <w:sz w:val="22"/>
          <w:szCs w:val="22"/>
        </w:rPr>
        <w:drawing>
          <wp:anchor distT="0" distB="0" distL="71755" distR="107950" simplePos="0" relativeHeight="251659264" behindDoc="0" locked="1" layoutInCell="1" allowOverlap="0">
            <wp:simplePos x="0" y="0"/>
            <wp:positionH relativeFrom="column">
              <wp:posOffset>18415</wp:posOffset>
            </wp:positionH>
            <wp:positionV relativeFrom="paragraph">
              <wp:posOffset>2540</wp:posOffset>
            </wp:positionV>
            <wp:extent cx="2056765" cy="212598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8_H-alpha-dynamics_5-frames_quad_sm.gif"/>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56765" cy="2125980"/>
                    </a:xfrm>
                    <a:prstGeom prst="rect">
                      <a:avLst/>
                    </a:prstGeom>
                  </pic:spPr>
                </pic:pic>
              </a:graphicData>
            </a:graphic>
          </wp:anchor>
        </w:drawing>
      </w:r>
    </w:p>
    <w:p w:rsidR="00D2204C" w:rsidRDefault="00D2204C" w:rsidP="008523F5">
      <w:pPr>
        <w:pStyle w:val="Zv-bodyreport"/>
        <w:spacing w:line="238" w:lineRule="auto"/>
        <w:rPr>
          <w:lang w:val="en-US"/>
        </w:rPr>
      </w:pPr>
    </w:p>
    <w:p w:rsidR="00D2204C" w:rsidRPr="00A22E96" w:rsidRDefault="00D2204C" w:rsidP="008523F5">
      <w:pPr>
        <w:pStyle w:val="Zv-bodyreport"/>
        <w:spacing w:line="238" w:lineRule="auto"/>
        <w:rPr>
          <w:lang w:val="en-US"/>
        </w:rPr>
      </w:pPr>
    </w:p>
    <w:p w:rsidR="00D2204C" w:rsidRPr="008523F5" w:rsidRDefault="00D2204C" w:rsidP="008523F5">
      <w:pPr>
        <w:pStyle w:val="Zv-bodyreport"/>
        <w:spacing w:line="238" w:lineRule="auto"/>
        <w:ind w:firstLine="0"/>
        <w:rPr>
          <w:i/>
          <w:iCs/>
          <w:sz w:val="22"/>
          <w:lang w:val="en-US"/>
        </w:rPr>
      </w:pPr>
      <w:r w:rsidRPr="008523F5">
        <w:rPr>
          <w:i/>
          <w:iCs/>
          <w:sz w:val="22"/>
          <w:lang w:val="en-US"/>
        </w:rPr>
        <w:t xml:space="preserve">Fig.1. ICE power evolution in the range of 5-80 MHz - frame a, </w:t>
      </w:r>
      <w:r w:rsidRPr="008523F5">
        <w:rPr>
          <w:i/>
          <w:iCs/>
          <w:sz w:val="22"/>
          <w:lang w:val="en-US"/>
        </w:rPr>
        <w:br/>
      </w:r>
      <m:oMath>
        <m:sSub>
          <m:sSubPr>
            <m:ctrlPr>
              <w:rPr>
                <w:rFonts w:ascii="Cambria Math" w:eastAsiaTheme="minorHAnsi" w:hAnsi="Cambria Math" w:cstheme="minorBidi"/>
                <w:i/>
                <w:iCs/>
                <w:sz w:val="22"/>
                <w:szCs w:val="22"/>
              </w:rPr>
            </m:ctrlPr>
          </m:sSubPr>
          <m:e>
            <m:acc>
              <m:accPr>
                <m:chr m:val="̅"/>
                <m:ctrlPr>
                  <w:rPr>
                    <w:rFonts w:ascii="Cambria Math" w:eastAsiaTheme="minorHAnsi" w:hAnsi="Cambria Math" w:cstheme="minorBidi"/>
                    <w:i/>
                    <w:iCs/>
                    <w:sz w:val="22"/>
                    <w:szCs w:val="22"/>
                  </w:rPr>
                </m:ctrlPr>
              </m:accPr>
              <m:e>
                <m:r>
                  <w:rPr>
                    <w:rFonts w:ascii="Cambria Math" w:hAnsi="Cambria Math"/>
                    <w:sz w:val="22"/>
                    <w:szCs w:val="22"/>
                  </w:rPr>
                  <m:t>n</m:t>
                </m:r>
              </m:e>
            </m:acc>
          </m:e>
          <m:sub>
            <m:r>
              <w:rPr>
                <w:rFonts w:ascii="Cambria Math" w:hAnsi="Cambria Math"/>
                <w:sz w:val="22"/>
                <w:szCs w:val="22"/>
              </w:rPr>
              <m:t>e</m:t>
            </m:r>
          </m:sub>
        </m:sSub>
      </m:oMath>
      <w:r w:rsidRPr="008523F5">
        <w:rPr>
          <w:i/>
          <w:iCs/>
          <w:sz w:val="22"/>
          <w:lang w:val="en-US"/>
        </w:rPr>
        <w:t xml:space="preserve"> (0.574) and </w:t>
      </w:r>
      <m:oMath>
        <m:sSub>
          <m:sSubPr>
            <m:ctrlPr>
              <w:rPr>
                <w:rFonts w:ascii="Cambria Math" w:eastAsiaTheme="minorHAnsi" w:hAnsi="Cambria Math" w:cstheme="minorBidi"/>
                <w:i/>
                <w:iCs/>
                <w:sz w:val="22"/>
                <w:szCs w:val="22"/>
              </w:rPr>
            </m:ctrlPr>
          </m:sSubPr>
          <m:e>
            <m:acc>
              <m:accPr>
                <m:chr m:val="̅"/>
                <m:ctrlPr>
                  <w:rPr>
                    <w:rFonts w:ascii="Cambria Math" w:eastAsiaTheme="minorHAnsi" w:hAnsi="Cambria Math" w:cstheme="minorBidi"/>
                    <w:i/>
                    <w:iCs/>
                    <w:sz w:val="22"/>
                    <w:szCs w:val="22"/>
                  </w:rPr>
                </m:ctrlPr>
              </m:accPr>
              <m:e>
                <m:r>
                  <w:rPr>
                    <w:rFonts w:ascii="Cambria Math" w:hAnsi="Cambria Math"/>
                    <w:sz w:val="22"/>
                    <w:szCs w:val="22"/>
                  </w:rPr>
                  <m:t>n</m:t>
                </m:r>
              </m:e>
            </m:acc>
          </m:e>
          <m:sub>
            <m:r>
              <w:rPr>
                <w:rFonts w:ascii="Cambria Math" w:hAnsi="Cambria Math"/>
                <w:sz w:val="22"/>
                <w:szCs w:val="22"/>
              </w:rPr>
              <m:t>e</m:t>
            </m:r>
          </m:sub>
        </m:sSub>
      </m:oMath>
      <w:r w:rsidRPr="008523F5">
        <w:rPr>
          <w:i/>
          <w:iCs/>
          <w:sz w:val="22"/>
          <w:lang w:val="en-US"/>
        </w:rPr>
        <w:t xml:space="preserve"> (0.718) - the line average density measured along vertical chords at large radii of 0.574 m (near the magnetic axis) and 0.718 m (the last channel of the microwave interferometer ) are frames b and c, </w:t>
      </w:r>
      <m:oMath>
        <m:sSub>
          <m:sSubPr>
            <m:ctrlPr>
              <w:rPr>
                <w:rFonts w:ascii="Cambria Math" w:eastAsiaTheme="minorHAnsi" w:hAnsi="Cambria Math" w:cstheme="minorBidi"/>
                <w:i/>
                <w:iCs/>
                <w:sz w:val="22"/>
                <w:szCs w:val="22"/>
              </w:rPr>
            </m:ctrlPr>
          </m:sSubPr>
          <m:e>
            <m:r>
              <w:rPr>
                <w:rFonts w:ascii="Cambria Math" w:hAnsi="Cambria Math"/>
                <w:sz w:val="22"/>
                <w:szCs w:val="22"/>
                <w:lang w:val="en-US"/>
              </w:rPr>
              <m:t>U</m:t>
            </m:r>
          </m:e>
          <m:sub>
            <m:r>
              <w:rPr>
                <w:rFonts w:ascii="Cambria Math" w:hAnsi="Cambria Math"/>
                <w:sz w:val="22"/>
                <w:szCs w:val="22"/>
              </w:rPr>
              <m:t>valve</m:t>
            </m:r>
          </m:sub>
        </m:sSub>
      </m:oMath>
      <w:r w:rsidRPr="008523F5">
        <w:rPr>
          <w:i/>
          <w:iCs/>
          <w:sz w:val="22"/>
          <w:lang w:val="en-US"/>
        </w:rPr>
        <w:t xml:space="preserve"> is the voltage applied to the piezoelectric inlet valve - frame b, signals from </w:t>
      </w:r>
      <m:oMath>
        <m:sSub>
          <m:sSubPr>
            <m:ctrlPr>
              <w:rPr>
                <w:rFonts w:ascii="Cambria Math" w:eastAsiaTheme="minorHAnsi" w:hAnsi="Cambria Math" w:cstheme="minorBidi"/>
                <w:i/>
                <w:iCs/>
                <w:sz w:val="22"/>
                <w:szCs w:val="22"/>
              </w:rPr>
            </m:ctrlPr>
          </m:sSubPr>
          <m:e>
            <m:r>
              <w:rPr>
                <w:rFonts w:ascii="Cambria Math" w:hAnsi="Cambria Math"/>
                <w:sz w:val="22"/>
                <w:szCs w:val="22"/>
                <w:lang w:val="en-US"/>
              </w:rPr>
              <m:t>H</m:t>
            </m:r>
          </m:e>
          <m:sub>
            <m:r>
              <w:rPr>
                <w:rFonts w:ascii="Cambria Math" w:hAnsi="Cambria Math"/>
                <w:sz w:val="22"/>
                <w:szCs w:val="22"/>
              </w:rPr>
              <m:t>α</m:t>
            </m:r>
          </m:sub>
        </m:sSub>
      </m:oMath>
      <w:r w:rsidRPr="00B0392B">
        <w:rPr>
          <w:i/>
          <w:iCs/>
          <w:sz w:val="22"/>
          <w:szCs w:val="22"/>
          <w:lang w:val="en-US"/>
        </w:rPr>
        <w:t xml:space="preserve"> </w:t>
      </w:r>
      <w:r w:rsidRPr="008523F5">
        <w:rPr>
          <w:i/>
          <w:iCs/>
          <w:sz w:val="22"/>
          <w:lang w:val="en-US"/>
        </w:rPr>
        <w:t>monitors near the hydrogen inlet port - frame d and away from the valve - frame e.</w:t>
      </w:r>
    </w:p>
    <w:p w:rsidR="00D2204C" w:rsidRDefault="00D2204C" w:rsidP="008523F5">
      <w:pPr>
        <w:pStyle w:val="Zv-bodyreport"/>
        <w:spacing w:after="120" w:line="238" w:lineRule="auto"/>
        <w:rPr>
          <w:i/>
          <w:iCs/>
          <w:sz w:val="22"/>
          <w:lang w:val="en-US"/>
        </w:rPr>
      </w:pPr>
      <w:r w:rsidRPr="00B0392B">
        <w:rPr>
          <w:i/>
          <w:iCs/>
          <w:sz w:val="22"/>
          <w:lang w:val="en-US"/>
        </w:rPr>
        <w:t>The detecting magnetic probe is located 6.5 cm above the equatorial plane on the side of the weak field.</w:t>
      </w:r>
    </w:p>
    <w:p w:rsidR="00D2204C" w:rsidRDefault="00D2204C" w:rsidP="008523F5">
      <w:pPr>
        <w:pStyle w:val="Zv-bodyreport"/>
        <w:spacing w:after="120" w:line="238" w:lineRule="auto"/>
        <w:rPr>
          <w:i/>
          <w:iCs/>
          <w:sz w:val="22"/>
          <w:lang w:val="en-US"/>
        </w:rPr>
      </w:pPr>
    </w:p>
    <w:p w:rsidR="00D2204C" w:rsidRPr="00A22E96" w:rsidRDefault="00D2204C" w:rsidP="008523F5">
      <w:pPr>
        <w:pStyle w:val="Zv-bodyreport"/>
        <w:spacing w:line="238" w:lineRule="auto"/>
        <w:rPr>
          <w:lang w:val="en-US"/>
        </w:rPr>
      </w:pPr>
      <w:r w:rsidRPr="00A22E96">
        <w:rPr>
          <w:lang w:val="en-US"/>
        </w:rPr>
        <w:t xml:space="preserve">The analysis showed that the </w:t>
      </w:r>
      <w:r>
        <w:rPr>
          <w:lang w:val="en-US"/>
        </w:rPr>
        <w:t>major</w:t>
      </w:r>
      <w:r w:rsidRPr="00A22E96">
        <w:rPr>
          <w:lang w:val="en-US"/>
        </w:rPr>
        <w:t xml:space="preserve"> contribution to the change in criterion (1) in the described experiments is made by the change in the ion temperature, while the contribution from the change in the relative density gradient is negligible.</w:t>
      </w:r>
    </w:p>
    <w:p w:rsidR="00D2204C" w:rsidRDefault="00D2204C" w:rsidP="008523F5">
      <w:pPr>
        <w:pStyle w:val="Zv-TitleReferences-en"/>
        <w:spacing w:line="238" w:lineRule="auto"/>
      </w:pPr>
      <w:r>
        <w:t>References</w:t>
      </w:r>
    </w:p>
    <w:p w:rsidR="00D2204C" w:rsidRPr="008F1425" w:rsidRDefault="00D2204C" w:rsidP="008523F5">
      <w:pPr>
        <w:pStyle w:val="Zv-References-en"/>
        <w:spacing w:line="238" w:lineRule="auto"/>
      </w:pPr>
      <w:r w:rsidRPr="008F1425">
        <w:t>S.V. Lebedev et al, EPJ Web Conf., 149(2017), 03010</w:t>
      </w:r>
    </w:p>
    <w:p w:rsidR="00D2204C" w:rsidRPr="006D4799" w:rsidRDefault="00D2204C" w:rsidP="008523F5">
      <w:pPr>
        <w:pStyle w:val="Zv-References-en"/>
        <w:spacing w:line="238" w:lineRule="auto"/>
      </w:pPr>
      <w:r w:rsidRPr="008F1425">
        <w:t xml:space="preserve">L.G. Askinazi et al, Nucl. </w:t>
      </w:r>
      <w:r w:rsidRPr="006D4799">
        <w:t>Fusion, 58(2018), 082003</w:t>
      </w:r>
    </w:p>
    <w:p w:rsidR="00D2204C" w:rsidRPr="00B0392B" w:rsidRDefault="00D2204C" w:rsidP="008523F5">
      <w:pPr>
        <w:pStyle w:val="Zv-References-en"/>
        <w:spacing w:line="238" w:lineRule="auto"/>
      </w:pPr>
      <w:r w:rsidRPr="008F1425">
        <w:t>A.B. Mikhailovsky, Nucl. Fusion, 11(1971), 323</w:t>
      </w:r>
    </w:p>
    <w:sectPr w:rsidR="00D2204C" w:rsidRPr="00B0392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7F9" w:rsidRDefault="004277F9">
      <w:r>
        <w:separator/>
      </w:r>
    </w:p>
  </w:endnote>
  <w:endnote w:type="continuationSeparator" w:id="0">
    <w:p w:rsidR="004277F9" w:rsidRDefault="0042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258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258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523F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7F9" w:rsidRDefault="004277F9">
      <w:r>
        <w:separator/>
      </w:r>
    </w:p>
  </w:footnote>
  <w:footnote w:type="continuationSeparator" w:id="0">
    <w:p w:rsidR="004277F9" w:rsidRDefault="004277F9">
      <w:r>
        <w:continuationSeparator/>
      </w:r>
    </w:p>
  </w:footnote>
  <w:footnote w:id="1">
    <w:p w:rsidR="008523F5" w:rsidRPr="008523F5" w:rsidRDefault="008523F5">
      <w:pPr>
        <w:pStyle w:val="a8"/>
        <w:rPr>
          <w:lang w:val="en-US"/>
        </w:rPr>
      </w:pPr>
      <w:r w:rsidRPr="008523F5">
        <w:rPr>
          <w:rStyle w:val="aa"/>
          <w:lang w:val="en-US"/>
        </w:rPr>
        <w:t>*)</w:t>
      </w:r>
      <w:r w:rsidRPr="008523F5">
        <w:rPr>
          <w:lang w:val="en-US"/>
        </w:rPr>
        <w:t xml:space="preserve"> </w:t>
      </w:r>
      <w:hyperlink r:id="rId1" w:history="1">
        <w:r w:rsidRPr="008523F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62258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277F9"/>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277F9"/>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2258F"/>
    <w:rsid w:val="00654A7B"/>
    <w:rsid w:val="006B5B24"/>
    <w:rsid w:val="00732A2E"/>
    <w:rsid w:val="00736138"/>
    <w:rsid w:val="007B09C9"/>
    <w:rsid w:val="007B6378"/>
    <w:rsid w:val="007E06CE"/>
    <w:rsid w:val="00802D35"/>
    <w:rsid w:val="008306AF"/>
    <w:rsid w:val="008520F9"/>
    <w:rsid w:val="008523F5"/>
    <w:rsid w:val="00871582"/>
    <w:rsid w:val="008850EF"/>
    <w:rsid w:val="00906FF7"/>
    <w:rsid w:val="009D3AC4"/>
    <w:rsid w:val="00AE6185"/>
    <w:rsid w:val="00B622ED"/>
    <w:rsid w:val="00B9584E"/>
    <w:rsid w:val="00C103CD"/>
    <w:rsid w:val="00C232A0"/>
    <w:rsid w:val="00C5751F"/>
    <w:rsid w:val="00D2204C"/>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2204C"/>
    <w:rPr>
      <w:color w:val="0000FF" w:themeColor="hyperlink"/>
      <w:u w:val="single"/>
    </w:rPr>
  </w:style>
  <w:style w:type="paragraph" w:styleId="a8">
    <w:name w:val="footnote text"/>
    <w:basedOn w:val="a"/>
    <w:link w:val="a9"/>
    <w:rsid w:val="008523F5"/>
    <w:rPr>
      <w:sz w:val="20"/>
      <w:szCs w:val="20"/>
    </w:rPr>
  </w:style>
  <w:style w:type="character" w:customStyle="1" w:styleId="a9">
    <w:name w:val="Текст сноски Знак"/>
    <w:basedOn w:val="a0"/>
    <w:link w:val="a8"/>
    <w:rsid w:val="008523F5"/>
  </w:style>
  <w:style w:type="character" w:styleId="aa">
    <w:name w:val="footnote reference"/>
    <w:basedOn w:val="a0"/>
    <w:rsid w:val="008523F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gei.lebedev@mail.ioff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F-Lebed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DCC8A-E076-43C2-B7A2-F7817FEC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482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PERIPHERAL PLASMA PARAMETERS ON THE INTENSITY OF ION CYCLOTRON EMISSION IN THE OHMIC REGIME IN THE TUMAN-3M TOKAMAK</dc:title>
  <dc:creator/>
  <cp:lastModifiedBy>Сатунин</cp:lastModifiedBy>
  <cp:revision>2</cp:revision>
  <cp:lastPrinted>1601-01-01T00:00:00Z</cp:lastPrinted>
  <dcterms:created xsi:type="dcterms:W3CDTF">2023-01-29T15:50:00Z</dcterms:created>
  <dcterms:modified xsi:type="dcterms:W3CDTF">2023-05-12T13:40:00Z</dcterms:modified>
</cp:coreProperties>
</file>