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107" w:rsidRDefault="00FB4E17" w:rsidP="00FB4E17">
      <w:pPr>
        <w:pStyle w:val="Zv-Titlereport"/>
        <w:spacing w:line="228" w:lineRule="auto"/>
        <w:rPr>
          <w:lang w:val="en-US"/>
        </w:rPr>
      </w:pPr>
      <w:r w:rsidRPr="00FB4E17">
        <w:rPr>
          <w:noProof/>
          <w:lang w:val="en-US"/>
        </w:rPr>
        <w:pict>
          <v:shapetype id="_x0000_t202" coordsize="21600,21600" o:spt="202" path="m,l,21600r21600,l21600,xe">
            <v:stroke joinstyle="miter"/>
            <v:path gradientshapeok="t" o:connecttype="rect"/>
          </v:shapetype>
          <v:shape id="_x0000_s1031" type="#_x0000_t202" style="position:absolute;left:0;text-align:left;margin-left:-2.85pt;margin-top:-24.4pt;width:219.15pt;height:26.25pt;z-index:-251656192;mso-position-horizontal:absolute" stroked="f" strokecolor="red">
            <v:textbox style="mso-next-textbox:#_x0000_s1031">
              <w:txbxContent>
                <w:p w:rsidR="00FB4E17" w:rsidRPr="00824DF5" w:rsidRDefault="00FB4E17" w:rsidP="003B6459">
                  <w:pPr>
                    <w:spacing w:before="80"/>
                    <w:rPr>
                      <w:sz w:val="22"/>
                      <w:szCs w:val="22"/>
                    </w:rPr>
                  </w:pPr>
                  <w:r w:rsidRPr="00824DF5">
                    <w:rPr>
                      <w:sz w:val="22"/>
                      <w:szCs w:val="22"/>
                    </w:rPr>
                    <w:t xml:space="preserve">DOI: </w:t>
                  </w:r>
                  <w:r w:rsidRPr="00FB4E17">
                    <w:rPr>
                      <w:sz w:val="22"/>
                      <w:szCs w:val="22"/>
                    </w:rPr>
                    <w:t>10.34854/ICPAF.2023.50.2023.1.1.062</w:t>
                  </w:r>
                </w:p>
              </w:txbxContent>
            </v:textbox>
            <w10:anchorlock/>
          </v:shape>
        </w:pict>
      </w:r>
      <w:r w:rsidR="00EA3107" w:rsidRPr="00EA1630">
        <w:rPr>
          <w:lang w:val="en-US"/>
        </w:rPr>
        <w:t>COMPARISON OF ENERGY TRANS</w:t>
      </w:r>
      <w:r w:rsidR="00EA3107">
        <w:rPr>
          <w:lang w:val="en-US"/>
        </w:rPr>
        <w:t xml:space="preserve">port </w:t>
      </w:r>
      <w:r w:rsidR="00EA3107" w:rsidRPr="00EA1630">
        <w:rPr>
          <w:lang w:val="en-US"/>
        </w:rPr>
        <w:t>IN EC HEAT</w:t>
      </w:r>
      <w:r w:rsidR="00EA3107">
        <w:rPr>
          <w:lang w:val="en-US"/>
        </w:rPr>
        <w:t>ed</w:t>
      </w:r>
      <w:r w:rsidR="00EA3107" w:rsidRPr="00EA1630">
        <w:rPr>
          <w:lang w:val="en-US"/>
        </w:rPr>
        <w:t xml:space="preserve"> PLASMA</w:t>
      </w:r>
      <w:r w:rsidR="00EA3107">
        <w:rPr>
          <w:lang w:val="en-US"/>
        </w:rPr>
        <w:t>s</w:t>
      </w:r>
      <w:r w:rsidR="00EA3107" w:rsidRPr="00EA1630">
        <w:rPr>
          <w:lang w:val="en-US"/>
        </w:rPr>
        <w:t xml:space="preserve"> </w:t>
      </w:r>
      <w:r w:rsidR="00EA3107">
        <w:rPr>
          <w:lang w:val="en-US"/>
        </w:rPr>
        <w:t xml:space="preserve">at the </w:t>
      </w:r>
      <w:r w:rsidR="00EA3107" w:rsidRPr="00EA1630">
        <w:rPr>
          <w:lang w:val="en-US"/>
        </w:rPr>
        <w:t>L-2M STELLARATOR AND T-10 TOKAMAK</w:t>
      </w:r>
      <w:r>
        <w:rPr>
          <w:lang w:val="en-US"/>
        </w:rPr>
        <w:t xml:space="preserve"> </w:t>
      </w:r>
      <w:r>
        <w:rPr>
          <w:rStyle w:val="ab"/>
          <w:lang w:val="en-US"/>
        </w:rPr>
        <w:footnoteReference w:customMarkFollows="1" w:id="1"/>
        <w:t>*)</w:t>
      </w:r>
    </w:p>
    <w:p w:rsidR="00EA3107" w:rsidRPr="00087887" w:rsidRDefault="00EA3107" w:rsidP="00FB4E17">
      <w:pPr>
        <w:pStyle w:val="Zv-Author"/>
        <w:spacing w:line="228" w:lineRule="auto"/>
        <w:rPr>
          <w:lang w:val="en-US"/>
        </w:rPr>
      </w:pPr>
      <w:r w:rsidRPr="00EA1630">
        <w:rPr>
          <w:vertAlign w:val="superscript"/>
          <w:lang w:val="en-US"/>
        </w:rPr>
        <w:t>1</w:t>
      </w:r>
      <w:r w:rsidRPr="00EA1630">
        <w:rPr>
          <w:lang w:val="en-US"/>
        </w:rPr>
        <w:t>Dnestrovsk</w:t>
      </w:r>
      <w:r>
        <w:rPr>
          <w:lang w:val="en-US"/>
        </w:rPr>
        <w:t>ij</w:t>
      </w:r>
      <w:r w:rsidRPr="00EA1630">
        <w:rPr>
          <w:lang w:val="en-US"/>
        </w:rPr>
        <w:t xml:space="preserve"> Yu.N.,</w:t>
      </w:r>
      <w:r w:rsidRPr="00EA1630">
        <w:rPr>
          <w:vertAlign w:val="superscript"/>
          <w:lang w:val="en-US"/>
        </w:rPr>
        <w:t xml:space="preserve"> 1</w:t>
      </w:r>
      <w:r w:rsidRPr="00EA1630">
        <w:rPr>
          <w:lang w:val="en-US"/>
        </w:rPr>
        <w:t>Melnikov A.V.,</w:t>
      </w:r>
      <w:r w:rsidRPr="00EA1630">
        <w:rPr>
          <w:vertAlign w:val="superscript"/>
          <w:lang w:val="en-US"/>
        </w:rPr>
        <w:t xml:space="preserve"> 1</w:t>
      </w:r>
      <w:r w:rsidRPr="00EA1630">
        <w:rPr>
          <w:lang w:val="en-US"/>
        </w:rPr>
        <w:t>Lysenko S.E.,</w:t>
      </w:r>
      <w:r w:rsidRPr="00EA1630">
        <w:rPr>
          <w:vertAlign w:val="superscript"/>
          <w:lang w:val="en-US"/>
        </w:rPr>
        <w:t xml:space="preserve"> </w:t>
      </w:r>
      <w:r>
        <w:rPr>
          <w:vertAlign w:val="superscript"/>
          <w:lang w:val="en-US"/>
        </w:rPr>
        <w:t>2</w:t>
      </w:r>
      <w:r w:rsidRPr="00EA1630">
        <w:rPr>
          <w:lang w:val="en-US"/>
        </w:rPr>
        <w:t>Meshcheryakov A.I.,</w:t>
      </w:r>
      <w:r w:rsidRPr="00EA1630">
        <w:rPr>
          <w:vertAlign w:val="superscript"/>
          <w:lang w:val="en-US"/>
        </w:rPr>
        <w:t xml:space="preserve"> 1</w:t>
      </w:r>
      <w:r>
        <w:rPr>
          <w:vertAlign w:val="superscript"/>
          <w:lang w:val="en-US"/>
        </w:rPr>
        <w:t>,2</w:t>
      </w:r>
      <w:r w:rsidRPr="00EA1630">
        <w:rPr>
          <w:lang w:val="en-US"/>
        </w:rPr>
        <w:t>Kharchev</w:t>
      </w:r>
      <w:r w:rsidR="008F740A">
        <w:rPr>
          <w:lang w:val="en-US"/>
        </w:rPr>
        <w:t> </w:t>
      </w:r>
      <w:r w:rsidRPr="00EA1630">
        <w:rPr>
          <w:lang w:val="en-US"/>
        </w:rPr>
        <w:t>N.K.,</w:t>
      </w:r>
      <w:r w:rsidRPr="00EA1630">
        <w:rPr>
          <w:vertAlign w:val="superscript"/>
          <w:lang w:val="en-US"/>
        </w:rPr>
        <w:t xml:space="preserve"> </w:t>
      </w:r>
      <w:r>
        <w:rPr>
          <w:vertAlign w:val="superscript"/>
          <w:lang w:val="en-US"/>
        </w:rPr>
        <w:t>2</w:t>
      </w:r>
      <w:r w:rsidRPr="00EA1630">
        <w:rPr>
          <w:lang w:val="en-US"/>
        </w:rPr>
        <w:t>Grebenshchikov</w:t>
      </w:r>
      <w:r w:rsidRPr="00283330">
        <w:rPr>
          <w:vertAlign w:val="superscript"/>
          <w:lang w:val="en-US"/>
        </w:rPr>
        <w:t xml:space="preserve"> </w:t>
      </w:r>
      <w:r w:rsidRPr="00EA1630">
        <w:rPr>
          <w:lang w:val="en-US"/>
        </w:rPr>
        <w:t>S.E.,</w:t>
      </w:r>
      <w:r w:rsidRPr="00EA1630">
        <w:rPr>
          <w:vertAlign w:val="superscript"/>
          <w:lang w:val="en-US"/>
        </w:rPr>
        <w:t xml:space="preserve"> </w:t>
      </w:r>
      <w:r>
        <w:rPr>
          <w:vertAlign w:val="superscript"/>
          <w:lang w:val="en-US"/>
        </w:rPr>
        <w:t>2</w:t>
      </w:r>
      <w:r>
        <w:rPr>
          <w:lang w:val="en-US"/>
        </w:rPr>
        <w:t>Vafin I.Yu.,</w:t>
      </w:r>
      <w:r w:rsidRPr="00EA1630">
        <w:rPr>
          <w:vertAlign w:val="superscript"/>
          <w:lang w:val="en-US"/>
        </w:rPr>
        <w:t xml:space="preserve"> 1</w:t>
      </w:r>
      <w:r>
        <w:rPr>
          <w:lang w:val="en-US"/>
        </w:rPr>
        <w:t>Cherkasov</w:t>
      </w:r>
      <w:r w:rsidRPr="00283330">
        <w:rPr>
          <w:vertAlign w:val="superscript"/>
          <w:lang w:val="en-US"/>
        </w:rPr>
        <w:t xml:space="preserve"> </w:t>
      </w:r>
      <w:r>
        <w:rPr>
          <w:lang w:val="en-US"/>
        </w:rPr>
        <w:t>S.V.</w:t>
      </w:r>
      <w:r w:rsidRPr="00EA1630">
        <w:rPr>
          <w:lang w:val="en-US"/>
        </w:rPr>
        <w:t>,</w:t>
      </w:r>
      <w:r w:rsidRPr="00EA1630">
        <w:rPr>
          <w:vertAlign w:val="superscript"/>
          <w:lang w:val="en-US"/>
        </w:rPr>
        <w:t xml:space="preserve"> 1</w:t>
      </w:r>
      <w:r w:rsidRPr="00EA1630">
        <w:rPr>
          <w:lang w:val="en-US"/>
        </w:rPr>
        <w:t>Eliseev L.G.,</w:t>
      </w:r>
      <w:r w:rsidRPr="00EA1630">
        <w:rPr>
          <w:vertAlign w:val="superscript"/>
          <w:lang w:val="en-US"/>
        </w:rPr>
        <w:t xml:space="preserve"> </w:t>
      </w:r>
      <w:r>
        <w:rPr>
          <w:vertAlign w:val="superscript"/>
          <w:lang w:val="en-US"/>
        </w:rPr>
        <w:t>3</w:t>
      </w:r>
      <w:r w:rsidRPr="00EA1630">
        <w:rPr>
          <w:lang w:val="en-US"/>
        </w:rPr>
        <w:t>Sychugov</w:t>
      </w:r>
      <w:r w:rsidRPr="00283330">
        <w:rPr>
          <w:vertAlign w:val="superscript"/>
          <w:lang w:val="en-US"/>
        </w:rPr>
        <w:t xml:space="preserve"> </w:t>
      </w:r>
      <w:r w:rsidRPr="00EA1630">
        <w:rPr>
          <w:lang w:val="en-US"/>
        </w:rPr>
        <w:t>D.Yu.</w:t>
      </w:r>
    </w:p>
    <w:p w:rsidR="00EA3107" w:rsidRDefault="00EA3107" w:rsidP="00FB4E17">
      <w:pPr>
        <w:pStyle w:val="Zv-Organization"/>
        <w:spacing w:line="228" w:lineRule="auto"/>
        <w:rPr>
          <w:lang w:val="en-US"/>
        </w:rPr>
      </w:pPr>
      <w:r w:rsidRPr="00FA0446">
        <w:rPr>
          <w:vertAlign w:val="superscript"/>
          <w:lang w:val="en-US"/>
        </w:rPr>
        <w:t>1</w:t>
      </w:r>
      <w:r w:rsidRPr="00FA0446">
        <w:rPr>
          <w:lang w:val="en-US"/>
        </w:rPr>
        <w:t xml:space="preserve">NRC ‘Kurchatov Institute’, Moscow, Russia, </w:t>
      </w:r>
      <w:hyperlink r:id="rId8" w:history="1">
        <w:r w:rsidRPr="00FA0446">
          <w:rPr>
            <w:rStyle w:val="a7"/>
            <w:lang w:val="en-US"/>
          </w:rPr>
          <w:t>Dnestrovskiy_YN@nrcki.ru</w:t>
        </w:r>
      </w:hyperlink>
      <w:r w:rsidRPr="00FA0446">
        <w:rPr>
          <w:lang w:val="en-US"/>
        </w:rPr>
        <w:t xml:space="preserve"> </w:t>
      </w:r>
      <w:r w:rsidRPr="00FA0446">
        <w:rPr>
          <w:lang w:val="en-US"/>
        </w:rPr>
        <w:br/>
      </w:r>
      <w:r w:rsidRPr="00FA0446">
        <w:rPr>
          <w:vertAlign w:val="superscript"/>
          <w:lang w:val="en-US"/>
        </w:rPr>
        <w:t>2</w:t>
      </w:r>
      <w:r w:rsidRPr="00FA0446">
        <w:rPr>
          <w:lang w:val="en-US"/>
        </w:rPr>
        <w:t xml:space="preserve">Prokhorov General Physics Institute, Moscow, Russia, </w:t>
      </w:r>
      <w:hyperlink r:id="rId9" w:history="1">
        <w:r w:rsidRPr="00FA0446">
          <w:rPr>
            <w:rStyle w:val="a7"/>
            <w:lang w:val="en-US"/>
          </w:rPr>
          <w:t>meshch@fpl.gpi.ru</w:t>
        </w:r>
      </w:hyperlink>
      <w:r w:rsidRPr="00FA0446">
        <w:rPr>
          <w:lang w:val="en-US"/>
        </w:rPr>
        <w:br/>
      </w:r>
      <w:r w:rsidRPr="00FA0446">
        <w:rPr>
          <w:vertAlign w:val="superscript"/>
          <w:lang w:val="en-US"/>
        </w:rPr>
        <w:t>3</w:t>
      </w:r>
      <w:r w:rsidRPr="00FA0446">
        <w:rPr>
          <w:lang w:val="en-US"/>
        </w:rPr>
        <w:t>Lomonosov</w:t>
      </w:r>
      <w:r w:rsidRPr="00E27B9C">
        <w:rPr>
          <w:lang w:val="en-US"/>
        </w:rPr>
        <w:t xml:space="preserve"> M</w:t>
      </w:r>
      <w:r>
        <w:rPr>
          <w:lang w:val="en-US"/>
        </w:rPr>
        <w:t xml:space="preserve">oscow </w:t>
      </w:r>
      <w:r w:rsidRPr="00E27B9C">
        <w:rPr>
          <w:lang w:val="en-US"/>
        </w:rPr>
        <w:t>S</w:t>
      </w:r>
      <w:r>
        <w:rPr>
          <w:lang w:val="en-US"/>
        </w:rPr>
        <w:t xml:space="preserve">tate </w:t>
      </w:r>
      <w:r w:rsidRPr="00E27B9C">
        <w:rPr>
          <w:lang w:val="en-US"/>
        </w:rPr>
        <w:t>U</w:t>
      </w:r>
      <w:r>
        <w:rPr>
          <w:lang w:val="en-US"/>
        </w:rPr>
        <w:t>niversity</w:t>
      </w:r>
      <w:r w:rsidRPr="00E27B9C">
        <w:rPr>
          <w:lang w:val="en-US"/>
        </w:rPr>
        <w:t xml:space="preserve">, Moscow, Russia, </w:t>
      </w:r>
      <w:hyperlink r:id="rId10" w:history="1">
        <w:r w:rsidRPr="00AF4DD6">
          <w:rPr>
            <w:rStyle w:val="a7"/>
            <w:lang w:val="en-US"/>
          </w:rPr>
          <w:t>sychugov@cs.msu.ru</w:t>
        </w:r>
      </w:hyperlink>
      <w:r>
        <w:rPr>
          <w:lang w:val="en-US"/>
        </w:rPr>
        <w:t xml:space="preserve"> </w:t>
      </w:r>
    </w:p>
    <w:p w:rsidR="00EA3107" w:rsidRPr="00647B44" w:rsidRDefault="00EA3107" w:rsidP="00FB4E17">
      <w:pPr>
        <w:pStyle w:val="Zv-bodyreport"/>
        <w:spacing w:line="228" w:lineRule="auto"/>
        <w:rPr>
          <w:lang w:val="en-US"/>
        </w:rPr>
      </w:pPr>
      <w:r>
        <w:rPr>
          <w:lang w:val="en-US"/>
        </w:rPr>
        <w:t>I</w:t>
      </w:r>
      <w:r w:rsidRPr="00A87B79">
        <w:rPr>
          <w:lang w:val="en-US"/>
        </w:rPr>
        <w:t>n the L-2M stellarator and T-10 tokamak</w:t>
      </w:r>
      <w:r>
        <w:rPr>
          <w:lang w:val="en-US"/>
        </w:rPr>
        <w:t>, p</w:t>
      </w:r>
      <w:r w:rsidRPr="00A87B79">
        <w:rPr>
          <w:lang w:val="en-US"/>
        </w:rPr>
        <w:t xml:space="preserve">lasma </w:t>
      </w:r>
      <w:r>
        <w:rPr>
          <w:lang w:val="en-US"/>
        </w:rPr>
        <w:t xml:space="preserve">is </w:t>
      </w:r>
      <w:r w:rsidRPr="00A87B79">
        <w:rPr>
          <w:lang w:val="en-US"/>
        </w:rPr>
        <w:t>heat</w:t>
      </w:r>
      <w:r>
        <w:rPr>
          <w:lang w:val="en-US"/>
        </w:rPr>
        <w:t>ed</w:t>
      </w:r>
      <w:r w:rsidRPr="00A87B79">
        <w:rPr>
          <w:lang w:val="en-US"/>
        </w:rPr>
        <w:t xml:space="preserve"> at the second harmonic of </w:t>
      </w:r>
      <w:r>
        <w:rPr>
          <w:lang w:val="en-US"/>
        </w:rPr>
        <w:t>electron cyclotron (</w:t>
      </w:r>
      <w:r w:rsidRPr="00A87B79">
        <w:rPr>
          <w:lang w:val="en-US"/>
        </w:rPr>
        <w:t>EC</w:t>
      </w:r>
      <w:r>
        <w:rPr>
          <w:lang w:val="en-US"/>
        </w:rPr>
        <w:t>)</w:t>
      </w:r>
      <w:r w:rsidRPr="00A87B79">
        <w:rPr>
          <w:lang w:val="en-US"/>
        </w:rPr>
        <w:t xml:space="preserve"> waves (X-mode). </w:t>
      </w:r>
      <w:r>
        <w:rPr>
          <w:lang w:val="en-US"/>
        </w:rPr>
        <w:t xml:space="preserve">In </w:t>
      </w:r>
      <w:r w:rsidRPr="00A87B79">
        <w:rPr>
          <w:lang w:val="en-US"/>
        </w:rPr>
        <w:t xml:space="preserve">[1] </w:t>
      </w:r>
      <w:r>
        <w:rPr>
          <w:lang w:val="en-US"/>
        </w:rPr>
        <w:t xml:space="preserve">we </w:t>
      </w:r>
      <w:r w:rsidRPr="00A87B79">
        <w:rPr>
          <w:lang w:val="en-US"/>
        </w:rPr>
        <w:t>introduce</w:t>
      </w:r>
      <w:r>
        <w:rPr>
          <w:lang w:val="en-US"/>
        </w:rPr>
        <w:t xml:space="preserve"> t</w:t>
      </w:r>
      <w:r w:rsidRPr="00A87B79">
        <w:rPr>
          <w:lang w:val="en-US"/>
        </w:rPr>
        <w:t>he concep</w:t>
      </w:r>
      <w:r>
        <w:rPr>
          <w:lang w:val="en-US"/>
        </w:rPr>
        <w:t>tion</w:t>
      </w:r>
      <w:r w:rsidRPr="00A87B79">
        <w:rPr>
          <w:lang w:val="en-US"/>
        </w:rPr>
        <w:t xml:space="preserve"> of equivalent tokamak and stellarator discharges</w:t>
      </w:r>
      <w:r>
        <w:rPr>
          <w:lang w:val="en-US"/>
        </w:rPr>
        <w:t>, which have</w:t>
      </w:r>
      <w:r w:rsidRPr="00A87B79">
        <w:rPr>
          <w:lang w:val="en-US"/>
        </w:rPr>
        <w:t xml:space="preserve"> the same electron and ion temperatures</w:t>
      </w:r>
      <w:r>
        <w:rPr>
          <w:lang w:val="en-US"/>
        </w:rPr>
        <w:t xml:space="preserve"> under </w:t>
      </w:r>
      <w:r w:rsidRPr="00A87B79">
        <w:rPr>
          <w:lang w:val="en-US"/>
        </w:rPr>
        <w:t xml:space="preserve">the same </w:t>
      </w:r>
      <w:r>
        <w:rPr>
          <w:lang w:val="en-US"/>
        </w:rPr>
        <w:t xml:space="preserve">totally </w:t>
      </w:r>
      <w:r w:rsidRPr="00A87B79">
        <w:rPr>
          <w:lang w:val="en-US"/>
        </w:rPr>
        <w:t>absorbed E</w:t>
      </w:r>
      <w:r>
        <w:rPr>
          <w:lang w:val="en-US"/>
        </w:rPr>
        <w:t>CH</w:t>
      </w:r>
      <w:r w:rsidRPr="00A87B79">
        <w:rPr>
          <w:lang w:val="en-US"/>
        </w:rPr>
        <w:t xml:space="preserve"> power</w:t>
      </w:r>
      <w:r>
        <w:rPr>
          <w:lang w:val="en-US"/>
        </w:rPr>
        <w:t>. We</w:t>
      </w:r>
      <w:r w:rsidRPr="00A87B79">
        <w:rPr>
          <w:lang w:val="en-US"/>
        </w:rPr>
        <w:t xml:space="preserve"> extend</w:t>
      </w:r>
      <w:r>
        <w:rPr>
          <w:lang w:val="en-US"/>
        </w:rPr>
        <w:t xml:space="preserve"> this conception </w:t>
      </w:r>
      <w:r w:rsidRPr="00A87B79">
        <w:rPr>
          <w:lang w:val="en-US"/>
        </w:rPr>
        <w:t>to the case of both complete and partial absorption of the EC</w:t>
      </w:r>
      <w:r>
        <w:rPr>
          <w:lang w:val="en-US"/>
        </w:rPr>
        <w:t>H</w:t>
      </w:r>
      <w:r w:rsidRPr="00A87B79">
        <w:rPr>
          <w:lang w:val="en-US"/>
        </w:rPr>
        <w:t xml:space="preserve"> power</w:t>
      </w:r>
      <w:r>
        <w:rPr>
          <w:lang w:val="en-US"/>
        </w:rPr>
        <w:t xml:space="preserve"> [2]. </w:t>
      </w:r>
      <w:r w:rsidRPr="00647B44">
        <w:rPr>
          <w:lang w:val="en-US"/>
        </w:rPr>
        <w:t xml:space="preserve">In this paper, examples of equivalent experimental discharges of the L-2M stellarator and model discharges of the T-10 tokamak are considered. A feature of the L-2M is the small value of the rotational transformation at the plasma </w:t>
      </w:r>
      <w:r>
        <w:rPr>
          <w:lang w:val="en-US"/>
        </w:rPr>
        <w:t>edge</w:t>
      </w:r>
      <w:r w:rsidRPr="00647B44">
        <w:rPr>
          <w:lang w:val="en-US"/>
        </w:rPr>
        <w:t xml:space="preserve"> (</w:t>
      </w:r>
      <w:r w:rsidRPr="003C4BF5">
        <w:rPr>
          <w:position w:val="-6"/>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9.75pt;height:11.25pt" o:ole="">
            <v:imagedata r:id="rId11" o:title=""/>
          </v:shape>
          <o:OLEObject Type="Embed" ProgID="Equation.DSMT4" ShapeID="_x0000_i1050" DrawAspect="Content" ObjectID="_1745413594" r:id="rId12"/>
        </w:object>
      </w:r>
      <w:r w:rsidRPr="00647B44">
        <w:rPr>
          <w:lang w:val="en-US"/>
        </w:rPr>
        <w:t>(</w:t>
      </w:r>
      <w:r w:rsidRPr="00D13744">
        <w:rPr>
          <w:i/>
        </w:rPr>
        <w:t>а</w:t>
      </w:r>
      <w:r w:rsidRPr="00647B44">
        <w:rPr>
          <w:lang w:val="en-US"/>
        </w:rPr>
        <w:t xml:space="preserve">) = 0.8), while </w:t>
      </w:r>
      <w:r>
        <w:rPr>
          <w:lang w:val="en-US"/>
        </w:rPr>
        <w:t>i</w:t>
      </w:r>
      <w:r w:rsidRPr="00647B44">
        <w:rPr>
          <w:lang w:val="en-US"/>
        </w:rPr>
        <w:t xml:space="preserve">n the W-7X, </w:t>
      </w:r>
      <w:r w:rsidRPr="003C4BF5">
        <w:rPr>
          <w:position w:val="-6"/>
        </w:rPr>
        <w:object w:dxaOrig="200" w:dyaOrig="220">
          <v:shape id="_x0000_i1051" type="#_x0000_t75" style="width:9.75pt;height:11.25pt" o:ole="">
            <v:imagedata r:id="rId11" o:title=""/>
          </v:shape>
          <o:OLEObject Type="Embed" ProgID="Equation.DSMT4" ShapeID="_x0000_i1051" DrawAspect="Content" ObjectID="_1745413595" r:id="rId13"/>
        </w:object>
      </w:r>
      <w:r w:rsidRPr="00647B44">
        <w:rPr>
          <w:lang w:val="en-US"/>
        </w:rPr>
        <w:t>(</w:t>
      </w:r>
      <w:r w:rsidRPr="00647B44">
        <w:rPr>
          <w:i/>
          <w:lang w:val="en-US"/>
        </w:rPr>
        <w:t>a</w:t>
      </w:r>
      <w:r w:rsidRPr="00647B44">
        <w:rPr>
          <w:lang w:val="en-US"/>
        </w:rPr>
        <w:t xml:space="preserve">) = 1.2, and </w:t>
      </w:r>
      <w:r>
        <w:rPr>
          <w:lang w:val="en-US"/>
        </w:rPr>
        <w:t>i</w:t>
      </w:r>
      <w:r w:rsidRPr="00647B44">
        <w:rPr>
          <w:lang w:val="en-US"/>
        </w:rPr>
        <w:t xml:space="preserve">n the TJ-II </w:t>
      </w:r>
      <w:r w:rsidRPr="003C4BF5">
        <w:rPr>
          <w:position w:val="-6"/>
        </w:rPr>
        <w:object w:dxaOrig="200" w:dyaOrig="220">
          <v:shape id="_x0000_i1052" type="#_x0000_t75" style="width:9.75pt;height:11.25pt" o:ole="">
            <v:imagedata r:id="rId11" o:title=""/>
          </v:shape>
          <o:OLEObject Type="Embed" ProgID="Equation.DSMT4" ShapeID="_x0000_i1052" DrawAspect="Content" ObjectID="_1745413596" r:id="rId14"/>
        </w:object>
      </w:r>
      <w:r w:rsidRPr="00647B44">
        <w:rPr>
          <w:lang w:val="en-US"/>
        </w:rPr>
        <w:t>(</w:t>
      </w:r>
      <w:r w:rsidRPr="00647B44">
        <w:rPr>
          <w:i/>
          <w:lang w:val="en-US"/>
        </w:rPr>
        <w:t>a</w:t>
      </w:r>
      <w:r w:rsidRPr="00647B44">
        <w:rPr>
          <w:lang w:val="en-US"/>
        </w:rPr>
        <w:t>) = 1.56 [1, 2].</w:t>
      </w:r>
      <w:r>
        <w:rPr>
          <w:lang w:val="en-US"/>
        </w:rPr>
        <w:t xml:space="preserve"> T</w:t>
      </w:r>
      <w:r w:rsidRPr="00647B44">
        <w:rPr>
          <w:lang w:val="en-US"/>
        </w:rPr>
        <w:t xml:space="preserve">herefore, the parameter </w:t>
      </w:r>
      <w:r w:rsidRPr="00641860">
        <w:rPr>
          <w:i/>
          <w:iCs/>
          <w:lang w:val="en-US"/>
        </w:rPr>
        <w:t>q</w:t>
      </w:r>
      <w:r w:rsidRPr="00647B44">
        <w:rPr>
          <w:lang w:val="en-US"/>
        </w:rPr>
        <w:t>(</w:t>
      </w:r>
      <w:r w:rsidRPr="00641860">
        <w:rPr>
          <w:i/>
          <w:iCs/>
          <w:lang w:val="en-US"/>
        </w:rPr>
        <w:t>a</w:t>
      </w:r>
      <w:r w:rsidRPr="00647B44">
        <w:rPr>
          <w:lang w:val="en-US"/>
        </w:rPr>
        <w:t xml:space="preserve">) determined by the formula [1] have large values </w:t>
      </w:r>
      <w:r w:rsidRPr="00641860">
        <w:rPr>
          <w:i/>
          <w:iCs/>
          <w:lang w:val="en-US"/>
        </w:rPr>
        <w:t>q</w:t>
      </w:r>
      <w:r w:rsidRPr="00647B44">
        <w:rPr>
          <w:lang w:val="en-US"/>
        </w:rPr>
        <w:t>(</w:t>
      </w:r>
      <w:r w:rsidRPr="00641860">
        <w:rPr>
          <w:i/>
          <w:iCs/>
          <w:lang w:val="en-US"/>
        </w:rPr>
        <w:t>a</w:t>
      </w:r>
      <w:r w:rsidRPr="00647B44">
        <w:rPr>
          <w:lang w:val="en-US"/>
        </w:rPr>
        <w:t>) ~ 8 – 10. Another feature of the L-2M is the small plasma volume compared to the TJ-II. As a result, at a low plasma density, the specific power per electron turns out to be too high, and the electron distribution function is distorted. Suprathermal electrons appear, and the concept of temperature loses its meaning.</w:t>
      </w:r>
      <w:r>
        <w:rPr>
          <w:lang w:val="en-US"/>
        </w:rPr>
        <w:t xml:space="preserve"> </w:t>
      </w:r>
      <w:r w:rsidRPr="00647B44">
        <w:rPr>
          <w:lang w:val="en-US"/>
        </w:rPr>
        <w:t xml:space="preserve">The areas of occurrence of </w:t>
      </w:r>
      <w:r>
        <w:rPr>
          <w:lang w:val="en-US"/>
        </w:rPr>
        <w:t>supra</w:t>
      </w:r>
      <w:r w:rsidRPr="00647B44">
        <w:rPr>
          <w:lang w:val="en-US"/>
        </w:rPr>
        <w:t>thermal electrons on the plane (</w:t>
      </w:r>
      <w:r w:rsidRPr="00647B44">
        <w:rPr>
          <w:rFonts w:ascii="Symbol" w:hAnsi="Symbol"/>
          <w:lang w:val="en-US"/>
        </w:rPr>
        <w:t></w:t>
      </w:r>
      <w:r w:rsidRPr="00641860">
        <w:rPr>
          <w:i/>
          <w:iCs/>
          <w:lang w:val="en-US"/>
        </w:rPr>
        <w:t>n</w:t>
      </w:r>
      <w:r w:rsidRPr="00647B44">
        <w:rPr>
          <w:lang w:val="en-US"/>
        </w:rPr>
        <w:t xml:space="preserve"> [10</w:t>
      </w:r>
      <w:r w:rsidRPr="00647B44">
        <w:rPr>
          <w:vertAlign w:val="superscript"/>
          <w:lang w:val="en-US"/>
        </w:rPr>
        <w:t>19</w:t>
      </w:r>
      <w:r w:rsidRPr="00647B44">
        <w:rPr>
          <w:lang w:val="en-US"/>
        </w:rPr>
        <w:t xml:space="preserve"> m</w:t>
      </w:r>
      <w:r w:rsidRPr="00647B44">
        <w:rPr>
          <w:vertAlign w:val="superscript"/>
          <w:lang w:val="en-US"/>
        </w:rPr>
        <w:t>-3</w:t>
      </w:r>
      <w:r w:rsidRPr="00647B44">
        <w:rPr>
          <w:lang w:val="en-US"/>
        </w:rPr>
        <w:t>], Q</w:t>
      </w:r>
      <w:r w:rsidRPr="00641860">
        <w:rPr>
          <w:vertAlign w:val="subscript"/>
          <w:lang w:val="en-US"/>
        </w:rPr>
        <w:t>EC</w:t>
      </w:r>
      <w:r w:rsidRPr="00647B44">
        <w:rPr>
          <w:lang w:val="en-US"/>
        </w:rPr>
        <w:t xml:space="preserve"> </w:t>
      </w:r>
      <w:r>
        <w:rPr>
          <w:lang w:val="en-US"/>
        </w:rPr>
        <w:t>M</w:t>
      </w:r>
      <w:r w:rsidRPr="00647B44">
        <w:rPr>
          <w:lang w:val="en-US"/>
        </w:rPr>
        <w:t xml:space="preserve">W]) are approximately separated from the areas with the Maxwellian distribution of electrons by an inclined straight line described by the equation </w:t>
      </w:r>
      <w:r w:rsidRPr="0011365E">
        <w:rPr>
          <w:position w:val="-12"/>
        </w:rPr>
        <w:object w:dxaOrig="1240" w:dyaOrig="360">
          <v:shape id="_x0000_i1053" type="#_x0000_t75" style="width:62.25pt;height:18pt" o:ole="">
            <v:imagedata r:id="rId15" o:title=""/>
          </v:shape>
          <o:OLEObject Type="Embed" ProgID="Equation.DSMT4" ShapeID="_x0000_i1053" DrawAspect="Content" ObjectID="_1745413597" r:id="rId16"/>
        </w:object>
      </w:r>
      <w:r w:rsidRPr="00647B44">
        <w:rPr>
          <w:lang w:val="en-US"/>
        </w:rPr>
        <w:t xml:space="preserve">, where </w:t>
      </w:r>
      <w:r w:rsidRPr="00641860">
        <w:rPr>
          <w:i/>
          <w:iCs/>
          <w:lang w:val="en-US"/>
        </w:rPr>
        <w:t>Q</w:t>
      </w:r>
      <w:r w:rsidRPr="00641860">
        <w:rPr>
          <w:vertAlign w:val="subscript"/>
          <w:lang w:val="en-US"/>
        </w:rPr>
        <w:t>EC</w:t>
      </w:r>
      <w:r w:rsidRPr="00647B44">
        <w:rPr>
          <w:lang w:val="en-US"/>
        </w:rPr>
        <w:t xml:space="preserve"> is the input power, </w:t>
      </w:r>
      <w:r w:rsidRPr="00641860">
        <w:rPr>
          <w:rFonts w:ascii="Symbol" w:hAnsi="Symbol"/>
          <w:lang w:val="en-US"/>
        </w:rPr>
        <w:t></w:t>
      </w:r>
      <w:r w:rsidRPr="00641860">
        <w:rPr>
          <w:i/>
          <w:iCs/>
          <w:lang w:val="en-US"/>
        </w:rPr>
        <w:t>n</w:t>
      </w:r>
      <w:r w:rsidRPr="00647B44">
        <w:rPr>
          <w:lang w:val="en-US"/>
        </w:rPr>
        <w:t xml:space="preserve"> is </w:t>
      </w:r>
      <w:r>
        <w:rPr>
          <w:lang w:val="en-US"/>
        </w:rPr>
        <w:t xml:space="preserve">line </w:t>
      </w:r>
      <w:r w:rsidRPr="00647B44">
        <w:rPr>
          <w:lang w:val="en-US"/>
        </w:rPr>
        <w:t xml:space="preserve">average density (Fig. 1). In </w:t>
      </w:r>
      <w:r>
        <w:rPr>
          <w:lang w:val="en-US"/>
        </w:rPr>
        <w:t xml:space="preserve">the </w:t>
      </w:r>
      <w:r w:rsidRPr="00647B44">
        <w:rPr>
          <w:lang w:val="en-US"/>
        </w:rPr>
        <w:t xml:space="preserve">region (A), the absorption of EC waves is partial; in </w:t>
      </w:r>
      <w:r>
        <w:rPr>
          <w:lang w:val="en-US"/>
        </w:rPr>
        <w:t>region</w:t>
      </w:r>
      <w:r w:rsidRPr="00647B44">
        <w:rPr>
          <w:lang w:val="en-US"/>
        </w:rPr>
        <w:t xml:space="preserve"> (B) </w:t>
      </w:r>
      <w:r>
        <w:rPr>
          <w:lang w:val="en-US"/>
        </w:rPr>
        <w:t>is</w:t>
      </w:r>
      <w:r w:rsidRPr="00647B44">
        <w:rPr>
          <w:lang w:val="en-US"/>
        </w:rPr>
        <w:t xml:space="preserve"> complete; in </w:t>
      </w:r>
      <w:r>
        <w:rPr>
          <w:lang w:val="en-US"/>
        </w:rPr>
        <w:t xml:space="preserve">the </w:t>
      </w:r>
      <w:r w:rsidRPr="00647B44">
        <w:rPr>
          <w:lang w:val="en-US"/>
        </w:rPr>
        <w:t xml:space="preserve">region (C) </w:t>
      </w:r>
      <w:r>
        <w:rPr>
          <w:lang w:val="en-US"/>
        </w:rPr>
        <w:t>suprat</w:t>
      </w:r>
      <w:r w:rsidRPr="00647B44">
        <w:rPr>
          <w:lang w:val="en-US"/>
        </w:rPr>
        <w:t xml:space="preserve">hermal electrons appear; in the region (D), EC waves are strongly diffracted. The </w:t>
      </w:r>
      <w:r>
        <w:rPr>
          <w:lang w:val="en-US"/>
        </w:rPr>
        <w:t>border</w:t>
      </w:r>
      <w:r w:rsidRPr="00647B44">
        <w:rPr>
          <w:lang w:val="en-US"/>
        </w:rPr>
        <w:t xml:space="preserve"> between regions with complete and partial absorption is determined by the relation </w:t>
      </w:r>
      <w:r w:rsidRPr="00647B44">
        <w:rPr>
          <w:rFonts w:ascii="Symbol" w:hAnsi="Symbol"/>
          <w:lang w:val="en-US"/>
        </w:rPr>
        <w:t></w:t>
      </w:r>
      <w:r w:rsidRPr="00641860">
        <w:rPr>
          <w:i/>
          <w:iCs/>
          <w:lang w:val="en-US"/>
        </w:rPr>
        <w:t>n</w:t>
      </w:r>
      <w:r w:rsidRPr="00647B44">
        <w:rPr>
          <w:lang w:val="en-US"/>
        </w:rPr>
        <w:t xml:space="preserve"> = </w:t>
      </w:r>
      <w:r w:rsidRPr="00641860">
        <w:rPr>
          <w:i/>
          <w:iCs/>
          <w:lang w:val="en-US"/>
        </w:rPr>
        <w:t>n</w:t>
      </w:r>
      <w:r w:rsidRPr="00641860">
        <w:rPr>
          <w:vertAlign w:val="subscript"/>
          <w:lang w:val="en-US"/>
        </w:rPr>
        <w:t>cr</w:t>
      </w:r>
      <w:r w:rsidRPr="00647B44">
        <w:rPr>
          <w:lang w:val="en-US"/>
        </w:rPr>
        <w:t xml:space="preserve">, where </w:t>
      </w:r>
      <w:r w:rsidRPr="0011365E">
        <w:rPr>
          <w:position w:val="-12"/>
          <w:lang w:val="en-US"/>
        </w:rPr>
        <w:object w:dxaOrig="1120" w:dyaOrig="360">
          <v:shape id="_x0000_i1054" type="#_x0000_t75" style="width:56.25pt;height:18pt" o:ole="">
            <v:imagedata r:id="rId17" o:title=""/>
          </v:shape>
          <o:OLEObject Type="Embed" ProgID="Equation.DSMT4" ShapeID="_x0000_i1054" DrawAspect="Content" ObjectID="_1745413598" r:id="rId18"/>
        </w:object>
      </w:r>
      <w:r w:rsidRPr="00647B44">
        <w:rPr>
          <w:lang w:val="en-US"/>
        </w:rPr>
        <w:t xml:space="preserve">, </w:t>
      </w:r>
      <w:r w:rsidRPr="00641860">
        <w:rPr>
          <w:i/>
          <w:iCs/>
          <w:lang w:val="en-US"/>
        </w:rPr>
        <w:t>B</w:t>
      </w:r>
      <w:r w:rsidRPr="00647B44">
        <w:rPr>
          <w:lang w:val="en-US"/>
        </w:rPr>
        <w:t xml:space="preserve"> is the magnetic field [T]. For a series of L-2M </w:t>
      </w:r>
      <w:r>
        <w:rPr>
          <w:lang w:val="en-US"/>
        </w:rPr>
        <w:t>shots</w:t>
      </w:r>
      <w:r w:rsidRPr="00647B44">
        <w:rPr>
          <w:lang w:val="en-US"/>
        </w:rPr>
        <w:t xml:space="preserve">, the values of the absorbed power and the energy </w:t>
      </w:r>
      <w:r>
        <w:rPr>
          <w:lang w:val="en-US"/>
        </w:rPr>
        <w:t xml:space="preserve">confinement </w:t>
      </w:r>
      <w:r w:rsidRPr="00647B44">
        <w:rPr>
          <w:lang w:val="en-US"/>
        </w:rPr>
        <w:t>time are determined.</w:t>
      </w:r>
      <w:r>
        <w:rPr>
          <w:lang w:val="en-US"/>
        </w:rPr>
        <w:t xml:space="preserve"> </w:t>
      </w:r>
      <w:r w:rsidRPr="00647B44">
        <w:rPr>
          <w:lang w:val="en-US"/>
        </w:rPr>
        <w:t xml:space="preserve">It is shown that the electron temperature and the absorbed power </w:t>
      </w:r>
      <w:r w:rsidRPr="00641860">
        <w:rPr>
          <w:i/>
          <w:iCs/>
          <w:lang w:val="en-US"/>
        </w:rPr>
        <w:t>Q</w:t>
      </w:r>
      <w:r w:rsidRPr="00641860">
        <w:rPr>
          <w:vertAlign w:val="subscript"/>
          <w:lang w:val="en-US"/>
        </w:rPr>
        <w:t>ab</w:t>
      </w:r>
      <w:r w:rsidRPr="00647B44">
        <w:rPr>
          <w:lang w:val="en-US"/>
        </w:rPr>
        <w:t xml:space="preserve"> in equivalent discharges are the same. Figure 2 shows the heating efficiency η = </w:t>
      </w:r>
      <w:r w:rsidRPr="00641860">
        <w:rPr>
          <w:i/>
          <w:iCs/>
          <w:lang w:val="en-US"/>
        </w:rPr>
        <w:t>Q</w:t>
      </w:r>
      <w:r w:rsidRPr="001334CD">
        <w:rPr>
          <w:vertAlign w:val="subscript"/>
          <w:lang w:val="en-US"/>
        </w:rPr>
        <w:t>ab</w:t>
      </w:r>
      <w:r w:rsidRPr="00647B44">
        <w:rPr>
          <w:lang w:val="en-US"/>
        </w:rPr>
        <w:t>/</w:t>
      </w:r>
      <w:r w:rsidRPr="00641860">
        <w:rPr>
          <w:i/>
          <w:iCs/>
          <w:lang w:val="en-US"/>
        </w:rPr>
        <w:t>Q</w:t>
      </w:r>
      <w:r w:rsidRPr="00641860">
        <w:rPr>
          <w:vertAlign w:val="subscript"/>
          <w:lang w:val="en-US"/>
        </w:rPr>
        <w:t>EC</w:t>
      </w:r>
      <w:r w:rsidRPr="00647B44">
        <w:rPr>
          <w:lang w:val="en-US"/>
        </w:rPr>
        <w:t xml:space="preserve"> as a function of the plasma density for a series of L-2M </w:t>
      </w:r>
      <w:r>
        <w:rPr>
          <w:lang w:val="en-US"/>
        </w:rPr>
        <w:t>shot</w:t>
      </w:r>
      <w:r w:rsidRPr="00647B44">
        <w:rPr>
          <w:lang w:val="en-US"/>
        </w:rPr>
        <w:t>s.</w:t>
      </w:r>
    </w:p>
    <w:p w:rsidR="00EA3107" w:rsidRDefault="00EA3107" w:rsidP="00FB4E17">
      <w:pPr>
        <w:pStyle w:val="Zv-bodyreport"/>
        <w:spacing w:before="120" w:line="228" w:lineRule="auto"/>
        <w:rPr>
          <w:lang w:val="en-US"/>
        </w:rPr>
      </w:pPr>
      <w:r w:rsidRPr="00647B44">
        <w:rPr>
          <w:lang w:val="en-US"/>
        </w:rPr>
        <w:t>Th</w:t>
      </w:r>
      <w:r>
        <w:rPr>
          <w:lang w:val="en-US"/>
        </w:rPr>
        <w:t>e</w:t>
      </w:r>
      <w:r w:rsidRPr="00647B44">
        <w:rPr>
          <w:lang w:val="en-US"/>
        </w:rPr>
        <w:t xml:space="preserve"> work </w:t>
      </w:r>
      <w:r>
        <w:rPr>
          <w:lang w:val="en-US"/>
        </w:rPr>
        <w:t>i</w:t>
      </w:r>
      <w:r w:rsidRPr="00647B44">
        <w:rPr>
          <w:lang w:val="en-US"/>
        </w:rPr>
        <w:t>s supported by RFBR Grant No. 20-07-00-991.</w:t>
      </w:r>
    </w:p>
    <w:tbl>
      <w:tblPr>
        <w:tblStyle w:val="a8"/>
        <w:tblW w:w="95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4"/>
        <w:gridCol w:w="4778"/>
      </w:tblGrid>
      <w:tr w:rsidR="00EA3107" w:rsidTr="004E771E">
        <w:trPr>
          <w:jc w:val="center"/>
        </w:trPr>
        <w:tc>
          <w:tcPr>
            <w:tcW w:w="4927" w:type="dxa"/>
          </w:tcPr>
          <w:p w:rsidR="00EA3107" w:rsidRDefault="00EA3107" w:rsidP="00FB4E17">
            <w:pPr>
              <w:pStyle w:val="Zv-bodyreport"/>
              <w:spacing w:line="228" w:lineRule="auto"/>
              <w:ind w:firstLine="0"/>
              <w:jc w:val="center"/>
            </w:pPr>
            <w:r>
              <w:rPr>
                <w:noProof/>
              </w:rPr>
              <w:drawing>
                <wp:inline distT="0" distB="0" distL="0" distR="0">
                  <wp:extent cx="2393395" cy="173755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01.tif"/>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93395" cy="1737558"/>
                          </a:xfrm>
                          <a:prstGeom prst="rect">
                            <a:avLst/>
                          </a:prstGeom>
                        </pic:spPr>
                      </pic:pic>
                    </a:graphicData>
                  </a:graphic>
                </wp:inline>
              </w:drawing>
            </w:r>
          </w:p>
        </w:tc>
        <w:tc>
          <w:tcPr>
            <w:tcW w:w="4927" w:type="dxa"/>
          </w:tcPr>
          <w:p w:rsidR="00EA3107" w:rsidRDefault="00EA3107" w:rsidP="00FB4E17">
            <w:pPr>
              <w:pStyle w:val="Zv-bodyreport"/>
              <w:spacing w:line="228" w:lineRule="auto"/>
              <w:ind w:firstLine="0"/>
              <w:jc w:val="center"/>
            </w:pPr>
            <w:r>
              <w:rPr>
                <w:noProof/>
              </w:rPr>
              <w:drawing>
                <wp:inline distT="0" distB="0" distL="0" distR="0">
                  <wp:extent cx="2263550" cy="1698249"/>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022.tif"/>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71355" cy="1704105"/>
                          </a:xfrm>
                          <a:prstGeom prst="rect">
                            <a:avLst/>
                          </a:prstGeom>
                        </pic:spPr>
                      </pic:pic>
                    </a:graphicData>
                  </a:graphic>
                </wp:inline>
              </w:drawing>
            </w:r>
          </w:p>
        </w:tc>
      </w:tr>
    </w:tbl>
    <w:p w:rsidR="00EA3107" w:rsidRDefault="00EA3107" w:rsidP="00FB4E17">
      <w:pPr>
        <w:pStyle w:val="Zv-bodyreport"/>
        <w:spacing w:line="228" w:lineRule="auto"/>
        <w:ind w:left="708" w:firstLine="708"/>
        <w:rPr>
          <w:lang w:val="en-US"/>
        </w:rPr>
      </w:pPr>
      <w:r>
        <w:rPr>
          <w:lang w:val="en-US"/>
        </w:rPr>
        <w:t>Fig</w:t>
      </w:r>
      <w:r>
        <w:t xml:space="preserve">. 1. </w:t>
      </w:r>
      <w:r>
        <w:tab/>
      </w:r>
      <w:r>
        <w:tab/>
      </w:r>
      <w:r>
        <w:tab/>
      </w:r>
      <w:r>
        <w:tab/>
      </w:r>
      <w:r>
        <w:tab/>
      </w:r>
      <w:r>
        <w:tab/>
      </w:r>
      <w:r>
        <w:rPr>
          <w:lang w:val="en-US"/>
        </w:rPr>
        <w:t>Fig. 2.</w:t>
      </w:r>
    </w:p>
    <w:p w:rsidR="00EA3107" w:rsidRDefault="00EA3107" w:rsidP="00FB4E17">
      <w:pPr>
        <w:pStyle w:val="Zv-TitleReferences-en"/>
        <w:spacing w:line="228" w:lineRule="auto"/>
        <w:rPr>
          <w:lang w:val="en-US"/>
        </w:rPr>
      </w:pPr>
      <w:r>
        <w:rPr>
          <w:lang w:val="en-US"/>
        </w:rPr>
        <w:t>References</w:t>
      </w:r>
    </w:p>
    <w:p w:rsidR="00EA3107" w:rsidRPr="0011365E" w:rsidRDefault="00EA3107" w:rsidP="00FB4E17">
      <w:pPr>
        <w:pStyle w:val="Zv-References-ru"/>
        <w:spacing w:line="228" w:lineRule="auto"/>
      </w:pPr>
      <w:r w:rsidRPr="00FB4E17">
        <w:rPr>
          <w:lang w:val="en-US"/>
        </w:rPr>
        <w:t xml:space="preserve">Dnestrovskij Yu.N. et al. // Plasma Phys. </w:t>
      </w:r>
      <w:r w:rsidRPr="0011365E">
        <w:t xml:space="preserve">Control. Fusion </w:t>
      </w:r>
      <w:r w:rsidRPr="0011365E">
        <w:rPr>
          <w:b/>
          <w:bCs/>
        </w:rPr>
        <w:t>63</w:t>
      </w:r>
      <w:r w:rsidRPr="0011365E">
        <w:t xml:space="preserve"> (2021) 055012 </w:t>
      </w:r>
    </w:p>
    <w:p w:rsidR="00EA3107" w:rsidRPr="00FA0446" w:rsidRDefault="00EA3107" w:rsidP="00FB4E17">
      <w:pPr>
        <w:pStyle w:val="Zv-References-ru"/>
        <w:spacing w:line="228" w:lineRule="auto"/>
        <w:rPr>
          <w:lang w:val="en-US"/>
        </w:rPr>
      </w:pPr>
      <w:r w:rsidRPr="00FB4E17">
        <w:rPr>
          <w:lang w:val="en-US"/>
        </w:rPr>
        <w:t xml:space="preserve">Dnestrovskij Yu.N. et al. // XLIX International Zvenigorod Conference on Plasma Physics and Controlled Fusion ICPAF-2022. </w:t>
      </w:r>
      <w:r w:rsidRPr="00FA0446">
        <w:rPr>
          <w:lang w:val="en-US"/>
        </w:rPr>
        <w:t>Book of abstracts, p. 61</w:t>
      </w:r>
      <w:r w:rsidR="00FA0446">
        <w:rPr>
          <w:lang w:val="en-US"/>
        </w:rPr>
        <w:t>,</w:t>
      </w:r>
      <w:r w:rsidR="00FA0446" w:rsidRPr="00FA0446">
        <w:rPr>
          <w:lang w:val="en-US"/>
        </w:rPr>
        <w:br/>
      </w:r>
      <w:hyperlink r:id="rId21" w:history="1">
        <w:r w:rsidRPr="00FA0446">
          <w:rPr>
            <w:rStyle w:val="a7"/>
            <w:lang w:val="en-US"/>
          </w:rPr>
          <w:t>http://www.fpl.gpi.ru/Zvenigorod/XLIX/Sbornik_ICPAF-2022.pdf</w:t>
        </w:r>
      </w:hyperlink>
      <w:r w:rsidRPr="00FA0446">
        <w:rPr>
          <w:rStyle w:val="a7"/>
          <w:lang w:val="en-US"/>
        </w:rPr>
        <w:t xml:space="preserve"> </w:t>
      </w:r>
    </w:p>
    <w:sectPr w:rsidR="00EA3107" w:rsidRPr="00FA0446" w:rsidSect="00F95123">
      <w:headerReference w:type="default" r:id="rId22"/>
      <w:footerReference w:type="even" r:id="rId23"/>
      <w:footerReference w:type="default" r:id="rId24"/>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F9B" w:rsidRDefault="00717F9B">
      <w:r>
        <w:separator/>
      </w:r>
    </w:p>
  </w:endnote>
  <w:endnote w:type="continuationSeparator" w:id="0">
    <w:p w:rsidR="00717F9B" w:rsidRDefault="00717F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073F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073F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B4E1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F9B" w:rsidRDefault="00717F9B">
      <w:r>
        <w:separator/>
      </w:r>
    </w:p>
  </w:footnote>
  <w:footnote w:type="continuationSeparator" w:id="0">
    <w:p w:rsidR="00717F9B" w:rsidRDefault="00717F9B">
      <w:r>
        <w:continuationSeparator/>
      </w:r>
    </w:p>
  </w:footnote>
  <w:footnote w:id="1">
    <w:p w:rsidR="00FB4E17" w:rsidRPr="00FB4E17" w:rsidRDefault="00FB4E17">
      <w:pPr>
        <w:pStyle w:val="a9"/>
        <w:rPr>
          <w:lang w:val="en-US"/>
        </w:rPr>
      </w:pPr>
      <w:r w:rsidRPr="00FB4E17">
        <w:rPr>
          <w:rStyle w:val="ab"/>
          <w:lang w:val="en-US"/>
        </w:rPr>
        <w:t>*)</w:t>
      </w:r>
      <w:r w:rsidRPr="00FB4E17">
        <w:rPr>
          <w:lang w:val="en-US"/>
        </w:rPr>
        <w:t xml:space="preserve"> </w:t>
      </w:r>
      <w:hyperlink r:id="rId1" w:history="1">
        <w:r w:rsidRPr="00FB4E17">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6073FB">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FA0446"/>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073FB"/>
    <w:rsid w:val="00654A7B"/>
    <w:rsid w:val="006B5B24"/>
    <w:rsid w:val="00717F9B"/>
    <w:rsid w:val="00732A2E"/>
    <w:rsid w:val="007B09C9"/>
    <w:rsid w:val="007B6378"/>
    <w:rsid w:val="007E06CE"/>
    <w:rsid w:val="00802D35"/>
    <w:rsid w:val="008306AF"/>
    <w:rsid w:val="008520F9"/>
    <w:rsid w:val="00871582"/>
    <w:rsid w:val="008850EF"/>
    <w:rsid w:val="008F740A"/>
    <w:rsid w:val="00906FF7"/>
    <w:rsid w:val="009C49BD"/>
    <w:rsid w:val="009D3AC4"/>
    <w:rsid w:val="00AE6185"/>
    <w:rsid w:val="00B622ED"/>
    <w:rsid w:val="00B9584E"/>
    <w:rsid w:val="00C103CD"/>
    <w:rsid w:val="00C232A0"/>
    <w:rsid w:val="00C5751F"/>
    <w:rsid w:val="00D47F19"/>
    <w:rsid w:val="00D75E08"/>
    <w:rsid w:val="00D900FB"/>
    <w:rsid w:val="00D92E54"/>
    <w:rsid w:val="00DC6E63"/>
    <w:rsid w:val="00E118BE"/>
    <w:rsid w:val="00E7021A"/>
    <w:rsid w:val="00E87733"/>
    <w:rsid w:val="00EA3107"/>
    <w:rsid w:val="00EE371E"/>
    <w:rsid w:val="00EF07A9"/>
    <w:rsid w:val="00F722F5"/>
    <w:rsid w:val="00F74399"/>
    <w:rsid w:val="00F95123"/>
    <w:rsid w:val="00FA0446"/>
    <w:rsid w:val="00FB4E17"/>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3107"/>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iPriority w:val="99"/>
    <w:unhideWhenUsed/>
    <w:rsid w:val="00EA3107"/>
    <w:rPr>
      <w:color w:val="0000FF" w:themeColor="hyperlink"/>
      <w:u w:val="single"/>
    </w:rPr>
  </w:style>
  <w:style w:type="table" w:styleId="a8">
    <w:name w:val="Table Grid"/>
    <w:basedOn w:val="a1"/>
    <w:rsid w:val="00EA3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rsid w:val="00FB4E17"/>
    <w:rPr>
      <w:sz w:val="20"/>
      <w:szCs w:val="20"/>
    </w:rPr>
  </w:style>
  <w:style w:type="character" w:customStyle="1" w:styleId="aa">
    <w:name w:val="Текст сноски Знак"/>
    <w:basedOn w:val="a0"/>
    <w:link w:val="a9"/>
    <w:rsid w:val="00FB4E17"/>
  </w:style>
  <w:style w:type="character" w:styleId="ab">
    <w:name w:val="footnote reference"/>
    <w:basedOn w:val="a0"/>
    <w:rsid w:val="00FB4E1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nestrovskiy_YN@nrcki.ru" TargetMode="External"/><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pl.gpi.ru/Zvenigorod/XLIX/Sbornik_ICPAF-2022.pdf"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5.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oter" Target="footer1.xml"/><Relationship Id="rId10" Type="http://schemas.openxmlformats.org/officeDocument/2006/relationships/hyperlink" Target="mailto:sychugov@cs.msu.ru" TargetMode="External"/><Relationship Id="rId19" Type="http://schemas.openxmlformats.org/officeDocument/2006/relationships/image" Target="media/image4.tiff"/><Relationship Id="rId4" Type="http://schemas.openxmlformats.org/officeDocument/2006/relationships/settings" Target="settings.xml"/><Relationship Id="rId9" Type="http://schemas.openxmlformats.org/officeDocument/2006/relationships/hyperlink" Target="mailto:meshch@fpl.gpi.ru" TargetMode="External"/><Relationship Id="rId14" Type="http://schemas.openxmlformats.org/officeDocument/2006/relationships/oleObject" Target="embeddings/oleObject3.bin"/><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AC-Dnestrovskiy.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A4BDB1-F5B8-47EA-A11D-B5CC6D9BD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109</TotalTime>
  <Pages>1</Pages>
  <Words>462</Words>
  <Characters>2811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 OF ENERGY TRANSPORT IN EC HEATED PLASMAS AT THE L-2M STELLARATOR AND T-10 TOKAMAK</dc:title>
  <dc:creator/>
  <cp:lastModifiedBy>Сатунин</cp:lastModifiedBy>
  <cp:revision>3</cp:revision>
  <cp:lastPrinted>1601-01-01T00:00:00Z</cp:lastPrinted>
  <dcterms:created xsi:type="dcterms:W3CDTF">2023-01-29T12:53:00Z</dcterms:created>
  <dcterms:modified xsi:type="dcterms:W3CDTF">2023-05-12T13:19:00Z</dcterms:modified>
</cp:coreProperties>
</file>