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D4" w:rsidRPr="00C541A9" w:rsidRDefault="008663BA" w:rsidP="00031ED4">
      <w:pPr>
        <w:pStyle w:val="Zv-Titlereport"/>
        <w:ind w:left="567" w:right="566"/>
        <w:rPr>
          <w:lang w:val="en-US"/>
        </w:rPr>
      </w:pPr>
      <w:r w:rsidRPr="008663BA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85pt;margin-top:-24.4pt;width:219.15pt;height:26.25pt;z-index:-251656192;mso-position-horizontal:absolute" stroked="f" strokecolor="red">
            <v:textbox style="mso-next-textbox:#_x0000_s1026">
              <w:txbxContent>
                <w:p w:rsidR="008663BA" w:rsidRPr="00824DF5" w:rsidRDefault="008663BA" w:rsidP="003B6459">
                  <w:pPr>
                    <w:spacing w:before="80"/>
                    <w:rPr>
                      <w:sz w:val="22"/>
                      <w:szCs w:val="22"/>
                    </w:rPr>
                  </w:pPr>
                  <w:r w:rsidRPr="00824DF5">
                    <w:rPr>
                      <w:sz w:val="22"/>
                      <w:szCs w:val="22"/>
                    </w:rPr>
                    <w:t xml:space="preserve">DOI: </w:t>
                  </w:r>
                  <w:r w:rsidRPr="008663BA">
                    <w:rPr>
                      <w:sz w:val="22"/>
                      <w:szCs w:val="22"/>
                    </w:rPr>
                    <w:t>10.34854/ICPAF.2023.50.2023.1.1.038</w:t>
                  </w:r>
                </w:p>
              </w:txbxContent>
            </v:textbox>
            <w10:anchorlock/>
          </v:shape>
        </w:pict>
      </w:r>
      <w:r w:rsidR="00031ED4" w:rsidRPr="00C541A9">
        <w:rPr>
          <w:lang w:val="en-US"/>
        </w:rPr>
        <w:t>Plasma heating study DURINg</w:t>
      </w:r>
      <w:r w:rsidR="00031ED4" w:rsidRPr="00C541A9">
        <w:rPr>
          <w:lang w:val="en-US"/>
        </w:rPr>
        <w:tab/>
        <w:t>NEuTRAL BEAM INJECTION AT GLOBUS-M2 TOKAMAK</w:t>
      </w:r>
      <w:r>
        <w:rPr>
          <w:lang w:val="en-US"/>
        </w:rPr>
        <w:t xml:space="preserve"> </w:t>
      </w:r>
      <w:r>
        <w:rPr>
          <w:rStyle w:val="aa"/>
          <w:lang w:val="en-US"/>
        </w:rPr>
        <w:footnoteReference w:customMarkFollows="1" w:id="1"/>
        <w:t>*)</w:t>
      </w:r>
    </w:p>
    <w:p w:rsidR="00031ED4" w:rsidRPr="00C60402" w:rsidRDefault="00031ED4" w:rsidP="00031ED4">
      <w:pPr>
        <w:pStyle w:val="Zv-Author"/>
        <w:rPr>
          <w:vertAlign w:val="superscript"/>
          <w:lang w:val="en-US"/>
        </w:rPr>
      </w:pPr>
      <w:r w:rsidRPr="00937D7E">
        <w:rPr>
          <w:vertAlign w:val="superscript"/>
          <w:lang w:val="en-US"/>
        </w:rPr>
        <w:t>1</w:t>
      </w:r>
      <w:r w:rsidRPr="00937D7E">
        <w:rPr>
          <w:u w:val="single"/>
          <w:lang w:val="en-US"/>
        </w:rPr>
        <w:t>Zhiltsov N.S.</w:t>
      </w:r>
      <w:r w:rsidRPr="00937D7E">
        <w:rPr>
          <w:lang w:val="en-US"/>
        </w:rPr>
        <w:t xml:space="preserve">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Kurskiev G.S.,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Bakharev N.N.,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Balachenkov I.M.,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Filippov S.V.,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>Goryainov V.Yu.</w:t>
      </w:r>
      <w:r>
        <w:rPr>
          <w:lang w:val="en-US"/>
        </w:rPr>
        <w:t xml:space="preserve">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>Gusev</w:t>
      </w:r>
      <w:r>
        <w:rPr>
          <w:lang w:val="en-US"/>
        </w:rPr>
        <w:t xml:space="preserve"> </w:t>
      </w:r>
      <w:r w:rsidRPr="00937D7E">
        <w:rPr>
          <w:lang w:val="en-US"/>
        </w:rPr>
        <w:t xml:space="preserve">V.K.,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Khromov N.A.,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Kiselev E.O.,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Koval A.N.,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>Krikunov</w:t>
      </w:r>
      <w:r>
        <w:rPr>
          <w:lang w:val="en-US"/>
        </w:rPr>
        <w:t> </w:t>
      </w:r>
      <w:r w:rsidRPr="00937D7E">
        <w:rPr>
          <w:lang w:val="en-US"/>
        </w:rPr>
        <w:t xml:space="preserve">S.V.,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Minaev V.B.,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Miroshnikov I.V.,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Mukhin E.E.,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Novokhatsky A.N.,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Patrov M.I.,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Petrov Yu.V.,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Sakharov N.V.,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Shchegolev P.B.,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Shulyatiev K.D.,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>Skrekel</w:t>
      </w:r>
      <w:r>
        <w:rPr>
          <w:lang w:val="en-US"/>
        </w:rPr>
        <w:t> </w:t>
      </w:r>
      <w:r w:rsidRPr="00937D7E">
        <w:rPr>
          <w:lang w:val="en-US"/>
        </w:rPr>
        <w:t xml:space="preserve">O.M.,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Solokha V.V., </w:t>
      </w:r>
      <w:r w:rsidRPr="00937D7E">
        <w:rPr>
          <w:vertAlign w:val="superscript"/>
          <w:lang w:val="en-US"/>
        </w:rPr>
        <w:t>2</w:t>
      </w:r>
      <w:r w:rsidRPr="00937D7E">
        <w:rPr>
          <w:lang w:val="en-US"/>
        </w:rPr>
        <w:t>Solovey</w:t>
      </w:r>
      <w:r>
        <w:rPr>
          <w:lang w:val="en-US"/>
        </w:rPr>
        <w:t xml:space="preserve"> </w:t>
      </w:r>
      <w:r w:rsidRPr="00937D7E">
        <w:rPr>
          <w:lang w:val="en-US"/>
        </w:rPr>
        <w:t xml:space="preserve">V.A.,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Telnova A.Yu.,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Tkachenko E.E.,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>Tokarev</w:t>
      </w:r>
      <w:r>
        <w:rPr>
          <w:lang w:val="en-US"/>
        </w:rPr>
        <w:t> </w:t>
      </w:r>
      <w:r w:rsidRPr="00937D7E">
        <w:rPr>
          <w:lang w:val="en-US"/>
        </w:rPr>
        <w:t xml:space="preserve">V.A.,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Tolstyakov S.Yu.,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Tukhmeneva E.A.,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 xml:space="preserve">Varfolomeev V.I., </w:t>
      </w:r>
      <w:r w:rsidRPr="00937D7E">
        <w:rPr>
          <w:vertAlign w:val="superscript"/>
          <w:lang w:val="en-US"/>
        </w:rPr>
        <w:t>1</w:t>
      </w:r>
      <w:r w:rsidRPr="00937D7E">
        <w:rPr>
          <w:lang w:val="en-US"/>
        </w:rPr>
        <w:t>Voronin A.V.,</w:t>
      </w:r>
      <w:r>
        <w:rPr>
          <w:lang w:val="en-US"/>
        </w:rPr>
        <w:t xml:space="preserve"> </w:t>
      </w:r>
      <w:r w:rsidRPr="00937D7E">
        <w:rPr>
          <w:vertAlign w:val="superscript"/>
          <w:lang w:val="en-US"/>
        </w:rPr>
        <w:t>1</w:t>
      </w:r>
      <w:r w:rsidRPr="00937D7E">
        <w:rPr>
          <w:lang w:val="en-GB"/>
        </w:rPr>
        <w:t>Yashin</w:t>
      </w:r>
      <w:r w:rsidRPr="00937D7E">
        <w:rPr>
          <w:lang w:val="en-US"/>
        </w:rPr>
        <w:t xml:space="preserve"> A.Yu.</w:t>
      </w:r>
    </w:p>
    <w:p w:rsidR="00031ED4" w:rsidRDefault="00031ED4" w:rsidP="00031ED4">
      <w:pPr>
        <w:pStyle w:val="Zv-Organization"/>
        <w:rPr>
          <w:lang w:val="en-US"/>
        </w:rPr>
      </w:pPr>
      <w:r w:rsidRPr="00937D7E">
        <w:rPr>
          <w:vertAlign w:val="superscript"/>
          <w:lang w:val="en-GB"/>
        </w:rPr>
        <w:t>1</w:t>
      </w:r>
      <w:r w:rsidRPr="00937D7E">
        <w:rPr>
          <w:lang w:val="en-US"/>
        </w:rPr>
        <w:t>Ioffe Institute, Saint-Petersburg, Russia</w:t>
      </w:r>
      <w:r w:rsidRPr="00937D7E">
        <w:rPr>
          <w:lang w:val="en-GB"/>
        </w:rPr>
        <w:br/>
      </w:r>
      <w:r w:rsidRPr="00937D7E">
        <w:rPr>
          <w:vertAlign w:val="superscript"/>
          <w:lang w:val="en-GB"/>
        </w:rPr>
        <w:t>2</w:t>
      </w:r>
      <w:r w:rsidRPr="00937D7E">
        <w:rPr>
          <w:lang w:val="en-GB"/>
        </w:rPr>
        <w:t>Petersburg Nuclear Physics Institute named by B.P. Konstantinov of NRC, “Kurchatov</w:t>
      </w:r>
      <w:r w:rsidR="002E4D1C">
        <w:rPr>
          <w:lang w:val="en-GB"/>
        </w:rPr>
        <w:br/>
        <w:t xml:space="preserve">    </w:t>
      </w:r>
      <w:r w:rsidRPr="00937D7E">
        <w:rPr>
          <w:lang w:val="en-GB"/>
        </w:rPr>
        <w:t xml:space="preserve"> Institute”, Saint-Petersburg, Russia</w:t>
      </w:r>
      <w:r>
        <w:rPr>
          <w:lang w:val="en-GB"/>
        </w:rPr>
        <w:t xml:space="preserve">, </w:t>
      </w:r>
      <w:hyperlink r:id="rId8" w:history="1">
        <w:r w:rsidRPr="00DB246C">
          <w:rPr>
            <w:rStyle w:val="a7"/>
            <w:lang w:val="en-US"/>
          </w:rPr>
          <w:t>nisovru@gmail.com</w:t>
        </w:r>
      </w:hyperlink>
    </w:p>
    <w:p w:rsidR="00031ED4" w:rsidRPr="00AF0ECA" w:rsidRDefault="00031ED4" w:rsidP="00031ED4">
      <w:pPr>
        <w:pStyle w:val="Zv-bodyreport"/>
        <w:rPr>
          <w:sz w:val="23"/>
          <w:szCs w:val="23"/>
          <w:lang w:val="en-US"/>
        </w:rPr>
      </w:pPr>
      <w:r w:rsidRPr="004209FC">
        <w:rPr>
          <w:lang w:val="en-US"/>
        </w:rPr>
        <w:t xml:space="preserve">This report </w:t>
      </w:r>
      <w:r>
        <w:rPr>
          <w:lang w:val="en-US"/>
        </w:rPr>
        <w:t>describes</w:t>
      </w:r>
      <w:r w:rsidRPr="004209FC">
        <w:rPr>
          <w:lang w:val="en-US"/>
        </w:rPr>
        <w:t xml:space="preserve"> the study of plasma heating in Globus-M2 tokamak [1] using high-energy neutral beams. The experiments were carried with the toroidal magnetic field </w:t>
      </w:r>
      <w:r w:rsidRPr="004209FC">
        <w:rPr>
          <w:i/>
          <w:iCs/>
          <w:lang w:val="en-US"/>
        </w:rPr>
        <w:t>B</w:t>
      </w:r>
      <w:r w:rsidRPr="004209FC">
        <w:rPr>
          <w:vertAlign w:val="subscript"/>
          <w:lang w:val="en-US"/>
        </w:rPr>
        <w:t>T</w:t>
      </w:r>
      <w:r w:rsidRPr="004209FC">
        <w:rPr>
          <w:lang w:val="en-US"/>
        </w:rPr>
        <w:t> </w:t>
      </w:r>
      <w:r w:rsidRPr="004209FC">
        <w:rPr>
          <w:lang w:val="en-GB"/>
        </w:rPr>
        <w:t>=</w:t>
      </w:r>
      <w:r w:rsidRPr="004209FC">
        <w:rPr>
          <w:lang w:val="en-US"/>
        </w:rPr>
        <w:t> 0.8</w:t>
      </w:r>
      <w:r w:rsidRPr="004209FC">
        <w:rPr>
          <w:lang w:val="en-GB"/>
        </w:rPr>
        <w:t xml:space="preserve"> – 0.9</w:t>
      </w:r>
      <w:r w:rsidRPr="004209FC">
        <w:rPr>
          <w:lang w:val="en-US"/>
        </w:rPr>
        <w:t xml:space="preserve"> T and plasma current </w:t>
      </w:r>
      <w:r w:rsidRPr="004209FC">
        <w:rPr>
          <w:i/>
          <w:iCs/>
          <w:lang w:val="en-US"/>
        </w:rPr>
        <w:t>I</w:t>
      </w:r>
      <w:r w:rsidRPr="004209FC">
        <w:rPr>
          <w:i/>
          <w:iCs/>
          <w:vertAlign w:val="subscript"/>
          <w:lang w:val="en-US"/>
        </w:rPr>
        <w:t>p</w:t>
      </w:r>
      <w:r w:rsidRPr="004209FC">
        <w:rPr>
          <w:lang w:val="en-US"/>
        </w:rPr>
        <w:t> </w:t>
      </w:r>
      <w:r w:rsidRPr="004209FC">
        <w:rPr>
          <w:lang w:val="en-GB"/>
        </w:rPr>
        <w:t>=</w:t>
      </w:r>
      <w:r w:rsidRPr="004209FC">
        <w:rPr>
          <w:lang w:val="en-US"/>
        </w:rPr>
        <w:t> </w:t>
      </w:r>
      <w:r w:rsidRPr="004209FC">
        <w:rPr>
          <w:lang w:val="en-GB"/>
        </w:rPr>
        <w:t xml:space="preserve">0.3 – </w:t>
      </w:r>
      <w:r w:rsidRPr="004209FC">
        <w:rPr>
          <w:lang w:val="en-US"/>
        </w:rPr>
        <w:t>0.4 MA.</w:t>
      </w:r>
      <w:r w:rsidRPr="004209FC">
        <w:rPr>
          <w:lang w:val="en-GB"/>
        </w:rPr>
        <w:t xml:space="preserve"> </w:t>
      </w:r>
      <w:r w:rsidRPr="004209FC">
        <w:rPr>
          <w:lang w:val="en-US"/>
        </w:rPr>
        <w:t>The tokamak discharge scenario included two neutral beam injectors</w:t>
      </w:r>
      <w:r>
        <w:rPr>
          <w:lang w:val="en-US"/>
        </w:rPr>
        <w:t xml:space="preserve"> (NBI)</w:t>
      </w:r>
      <w:r w:rsidRPr="004209FC">
        <w:rPr>
          <w:lang w:val="en-US"/>
        </w:rPr>
        <w:t xml:space="preserve"> operating simultaneously: one with particle energy</w:t>
      </w:r>
      <w:r w:rsidRPr="004209FC">
        <w:rPr>
          <w:lang w:val="en-GB"/>
        </w:rPr>
        <w:t xml:space="preserve"> </w:t>
      </w:r>
      <w:r w:rsidRPr="004209FC">
        <w:rPr>
          <w:i/>
          <w:iCs/>
          <w:sz w:val="23"/>
          <w:szCs w:val="23"/>
          <w:lang w:val="en-GB"/>
        </w:rPr>
        <w:t>E</w:t>
      </w:r>
      <w:r w:rsidRPr="004209FC">
        <w:rPr>
          <w:i/>
          <w:iCs/>
          <w:sz w:val="16"/>
          <w:szCs w:val="16"/>
          <w:lang w:val="en-GB"/>
        </w:rPr>
        <w:t>NBI</w:t>
      </w:r>
      <w:r w:rsidRPr="0042510B">
        <w:rPr>
          <w:i/>
          <w:iCs/>
          <w:sz w:val="20"/>
          <w:szCs w:val="20"/>
          <w:vertAlign w:val="superscript"/>
          <w:lang w:val="en-GB"/>
        </w:rPr>
        <w:t>1</w:t>
      </w:r>
      <w:r w:rsidRPr="004209FC">
        <w:rPr>
          <w:i/>
          <w:iCs/>
          <w:sz w:val="16"/>
          <w:szCs w:val="16"/>
          <w:lang w:val="en-GB"/>
        </w:rPr>
        <w:t xml:space="preserve"> </w:t>
      </w:r>
      <w:r w:rsidRPr="004209FC">
        <w:rPr>
          <w:sz w:val="23"/>
          <w:szCs w:val="23"/>
          <w:lang w:val="en-GB"/>
        </w:rPr>
        <w:t xml:space="preserve">= 25-28 </w:t>
      </w:r>
      <w:r w:rsidRPr="004209FC">
        <w:rPr>
          <w:sz w:val="23"/>
          <w:szCs w:val="23"/>
          <w:lang w:val="en-US"/>
        </w:rPr>
        <w:t>keV</w:t>
      </w:r>
      <w:r w:rsidRPr="004209FC">
        <w:rPr>
          <w:sz w:val="23"/>
          <w:szCs w:val="23"/>
          <w:lang w:val="en-GB"/>
        </w:rPr>
        <w:t xml:space="preserve"> </w:t>
      </w:r>
      <w:r w:rsidRPr="004209FC">
        <w:rPr>
          <w:sz w:val="23"/>
          <w:szCs w:val="23"/>
          <w:lang w:val="en-US"/>
        </w:rPr>
        <w:t>and power</w:t>
      </w:r>
      <w:r w:rsidRPr="004209FC">
        <w:rPr>
          <w:sz w:val="23"/>
          <w:szCs w:val="23"/>
          <w:lang w:val="en-GB"/>
        </w:rPr>
        <w:t xml:space="preserve"> </w:t>
      </w:r>
      <w:r w:rsidRPr="004209FC">
        <w:rPr>
          <w:i/>
          <w:iCs/>
          <w:sz w:val="23"/>
          <w:szCs w:val="23"/>
          <w:lang w:val="en-GB"/>
        </w:rPr>
        <w:t>P</w:t>
      </w:r>
      <w:r w:rsidRPr="004209FC">
        <w:rPr>
          <w:i/>
          <w:iCs/>
          <w:sz w:val="16"/>
          <w:szCs w:val="16"/>
          <w:lang w:val="en-GB"/>
        </w:rPr>
        <w:t>NBI</w:t>
      </w:r>
      <w:r w:rsidRPr="0042510B">
        <w:rPr>
          <w:i/>
          <w:iCs/>
          <w:sz w:val="20"/>
          <w:szCs w:val="20"/>
          <w:vertAlign w:val="superscript"/>
          <w:lang w:val="en-GB"/>
        </w:rPr>
        <w:t>1</w:t>
      </w:r>
      <w:r w:rsidRPr="004209FC">
        <w:rPr>
          <w:i/>
          <w:iCs/>
          <w:sz w:val="16"/>
          <w:szCs w:val="16"/>
          <w:lang w:val="en-GB"/>
        </w:rPr>
        <w:t xml:space="preserve"> </w:t>
      </w:r>
      <w:r w:rsidRPr="004209FC">
        <w:rPr>
          <w:sz w:val="23"/>
          <w:szCs w:val="23"/>
          <w:lang w:val="en-GB"/>
        </w:rPr>
        <w:t xml:space="preserve">≤ 0.45 </w:t>
      </w:r>
      <w:r w:rsidRPr="004209FC">
        <w:rPr>
          <w:sz w:val="23"/>
          <w:szCs w:val="23"/>
          <w:lang w:val="en-US"/>
        </w:rPr>
        <w:t>MW</w:t>
      </w:r>
      <w:r w:rsidRPr="004209FC">
        <w:rPr>
          <w:sz w:val="23"/>
          <w:szCs w:val="23"/>
          <w:lang w:val="en-GB"/>
        </w:rPr>
        <w:t xml:space="preserve">, </w:t>
      </w:r>
      <w:r w:rsidRPr="004209FC">
        <w:rPr>
          <w:sz w:val="23"/>
          <w:szCs w:val="23"/>
          <w:lang w:val="en-US"/>
        </w:rPr>
        <w:t>other</w:t>
      </w:r>
      <w:r w:rsidRPr="004209FC">
        <w:rPr>
          <w:sz w:val="23"/>
          <w:szCs w:val="23"/>
          <w:lang w:val="en-GB"/>
        </w:rPr>
        <w:t xml:space="preserve"> – </w:t>
      </w:r>
      <w:r w:rsidRPr="004209FC">
        <w:rPr>
          <w:i/>
          <w:iCs/>
          <w:sz w:val="23"/>
          <w:szCs w:val="23"/>
          <w:lang w:val="en-GB"/>
        </w:rPr>
        <w:t>E</w:t>
      </w:r>
      <w:r w:rsidRPr="004209FC">
        <w:rPr>
          <w:i/>
          <w:iCs/>
          <w:sz w:val="16"/>
          <w:szCs w:val="16"/>
          <w:lang w:val="en-GB"/>
        </w:rPr>
        <w:t>NBI</w:t>
      </w:r>
      <w:r w:rsidRPr="0042510B">
        <w:rPr>
          <w:i/>
          <w:iCs/>
          <w:sz w:val="20"/>
          <w:szCs w:val="20"/>
          <w:vertAlign w:val="superscript"/>
          <w:lang w:val="en-GB"/>
        </w:rPr>
        <w:t>2</w:t>
      </w:r>
      <w:r w:rsidRPr="004209FC">
        <w:rPr>
          <w:i/>
          <w:iCs/>
          <w:sz w:val="16"/>
          <w:szCs w:val="16"/>
          <w:lang w:val="en-GB"/>
        </w:rPr>
        <w:t xml:space="preserve"> </w:t>
      </w:r>
      <w:r w:rsidRPr="004209FC">
        <w:rPr>
          <w:sz w:val="23"/>
          <w:szCs w:val="23"/>
          <w:lang w:val="en-GB"/>
        </w:rPr>
        <w:t xml:space="preserve">= 30-45 </w:t>
      </w:r>
      <w:r w:rsidRPr="004209FC">
        <w:rPr>
          <w:sz w:val="23"/>
          <w:szCs w:val="23"/>
          <w:lang w:val="en-US"/>
        </w:rPr>
        <w:t>keV</w:t>
      </w:r>
      <w:r w:rsidRPr="004209FC">
        <w:rPr>
          <w:sz w:val="23"/>
          <w:szCs w:val="23"/>
          <w:lang w:val="en-GB"/>
        </w:rPr>
        <w:t xml:space="preserve"> with </w:t>
      </w:r>
      <w:r w:rsidRPr="004209FC">
        <w:rPr>
          <w:i/>
          <w:iCs/>
          <w:sz w:val="23"/>
          <w:szCs w:val="23"/>
          <w:lang w:val="en-GB"/>
        </w:rPr>
        <w:t>P</w:t>
      </w:r>
      <w:r w:rsidRPr="0042510B">
        <w:rPr>
          <w:i/>
          <w:iCs/>
          <w:vertAlign w:val="subscript"/>
          <w:lang w:val="en-GB"/>
        </w:rPr>
        <w:t>NBI</w:t>
      </w:r>
      <w:r w:rsidRPr="0042510B">
        <w:rPr>
          <w:i/>
          <w:iCs/>
          <w:sz w:val="20"/>
          <w:szCs w:val="20"/>
          <w:vertAlign w:val="superscript"/>
          <w:lang w:val="en-GB"/>
        </w:rPr>
        <w:t>2</w:t>
      </w:r>
      <w:r w:rsidRPr="004209FC">
        <w:rPr>
          <w:i/>
          <w:iCs/>
          <w:sz w:val="16"/>
          <w:szCs w:val="16"/>
          <w:lang w:val="en-GB"/>
        </w:rPr>
        <w:t xml:space="preserve"> </w:t>
      </w:r>
      <w:r w:rsidRPr="004209FC">
        <w:rPr>
          <w:sz w:val="23"/>
          <w:szCs w:val="23"/>
          <w:lang w:val="en-GB"/>
        </w:rPr>
        <w:t xml:space="preserve">≤ 0.75 </w:t>
      </w:r>
      <w:r w:rsidRPr="004209FC">
        <w:rPr>
          <w:sz w:val="23"/>
          <w:szCs w:val="23"/>
          <w:lang w:val="en-US"/>
        </w:rPr>
        <w:t>MW.</w:t>
      </w:r>
      <w:r>
        <w:rPr>
          <w:sz w:val="23"/>
          <w:szCs w:val="23"/>
          <w:lang w:val="en-US"/>
        </w:rPr>
        <w:t xml:space="preserve"> The line average density was varied in the range 0.15 </w:t>
      </w:r>
      <w:r w:rsidRPr="004209FC">
        <w:rPr>
          <w:lang w:val="en-GB"/>
        </w:rPr>
        <w:t>–</w:t>
      </w:r>
      <w:r>
        <w:rPr>
          <w:lang w:val="en-GB"/>
        </w:rPr>
        <w:t xml:space="preserve"> 1.6</w:t>
      </w:r>
      <w:r w:rsidRPr="0042510B">
        <w:rPr>
          <w:sz w:val="23"/>
          <w:szCs w:val="23"/>
          <w:lang w:val="en-GB"/>
        </w:rPr>
        <w:t xml:space="preserve"> </w:t>
      </w:r>
      <w:r w:rsidRPr="0042510B">
        <w:rPr>
          <w:rFonts w:ascii="Cambria Math" w:hAnsi="Cambria Math" w:cs="Cambria Math"/>
          <w:sz w:val="23"/>
          <w:szCs w:val="23"/>
          <w:lang w:val="en-GB"/>
        </w:rPr>
        <w:t>⋅</w:t>
      </w:r>
      <w:r w:rsidRPr="0042510B">
        <w:rPr>
          <w:sz w:val="23"/>
          <w:szCs w:val="23"/>
          <w:lang w:val="en-GB"/>
        </w:rPr>
        <w:t>10</w:t>
      </w:r>
      <w:r>
        <w:rPr>
          <w:sz w:val="23"/>
          <w:szCs w:val="23"/>
          <w:vertAlign w:val="superscript"/>
          <w:lang w:val="en-GB"/>
        </w:rPr>
        <w:t>20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-3</w:t>
      </w:r>
      <w:r w:rsidRPr="0042510B">
        <w:rPr>
          <w:sz w:val="23"/>
          <w:szCs w:val="23"/>
          <w:lang w:val="en-GB"/>
        </w:rPr>
        <w:t>.</w:t>
      </w:r>
    </w:p>
    <w:p w:rsidR="00031ED4" w:rsidRDefault="00031ED4" w:rsidP="00031ED4">
      <w:pPr>
        <w:pStyle w:val="Zv-bodyreport"/>
        <w:rPr>
          <w:lang w:val="en-US"/>
        </w:rPr>
      </w:pPr>
      <w:r w:rsidRPr="00712DEF">
        <w:rPr>
          <w:lang w:val="en-US"/>
        </w:rPr>
        <w:t xml:space="preserve">Thomson scattering diagnostics [2] performed measurements of electron temperature </w:t>
      </w:r>
      <w:r w:rsidRPr="00712DEF">
        <w:rPr>
          <w:i/>
          <w:iCs/>
          <w:lang w:val="en-US"/>
        </w:rPr>
        <w:t>T</w:t>
      </w:r>
      <w:r w:rsidRPr="00712DEF">
        <w:rPr>
          <w:i/>
          <w:iCs/>
          <w:vertAlign w:val="subscript"/>
          <w:lang w:val="en-US"/>
        </w:rPr>
        <w:t>e</w:t>
      </w:r>
      <w:r w:rsidRPr="00712DEF">
        <w:rPr>
          <w:lang w:val="en-US"/>
        </w:rPr>
        <w:t xml:space="preserve"> and density </w:t>
      </w:r>
      <w:r w:rsidRPr="00712DEF">
        <w:rPr>
          <w:i/>
          <w:iCs/>
          <w:lang w:val="en-US"/>
        </w:rPr>
        <w:t>n</w:t>
      </w:r>
      <w:r w:rsidRPr="00712DEF">
        <w:rPr>
          <w:i/>
          <w:iCs/>
          <w:vertAlign w:val="subscript"/>
          <w:lang w:val="en-US"/>
        </w:rPr>
        <w:t>e</w:t>
      </w:r>
      <w:r w:rsidRPr="00712DEF">
        <w:rPr>
          <w:lang w:val="en-US"/>
        </w:rPr>
        <w:t xml:space="preserve"> spatial distributions, which were used to calculate the electron stored energy </w:t>
      </w:r>
      <w:r w:rsidRPr="00712DEF">
        <w:rPr>
          <w:i/>
          <w:iCs/>
          <w:lang w:val="en-US"/>
        </w:rPr>
        <w:t>W</w:t>
      </w:r>
      <w:r w:rsidRPr="00712DEF">
        <w:rPr>
          <w:i/>
          <w:iCs/>
          <w:vertAlign w:val="subscript"/>
          <w:lang w:val="en-US"/>
        </w:rPr>
        <w:t>e</w:t>
      </w:r>
      <w:r w:rsidRPr="00712DEF">
        <w:rPr>
          <w:lang w:val="en-US"/>
        </w:rPr>
        <w:t xml:space="preserve"> dynamics</w:t>
      </w:r>
      <w:r w:rsidRPr="00712DEF">
        <w:rPr>
          <w:lang w:val="en-GB"/>
        </w:rPr>
        <w:t xml:space="preserve">. The </w:t>
      </w:r>
      <w:r w:rsidRPr="00712DEF">
        <w:rPr>
          <w:i/>
          <w:iCs/>
          <w:lang w:val="en-GB"/>
        </w:rPr>
        <w:t>W</w:t>
      </w:r>
      <w:r w:rsidRPr="00712DEF">
        <w:rPr>
          <w:i/>
          <w:iCs/>
          <w:vertAlign w:val="subscript"/>
          <w:lang w:val="en-GB"/>
        </w:rPr>
        <w:t>e</w:t>
      </w:r>
      <w:r w:rsidRPr="00712DEF">
        <w:rPr>
          <w:i/>
          <w:iCs/>
          <w:lang w:val="en-GB"/>
        </w:rPr>
        <w:t xml:space="preserve"> </w:t>
      </w:r>
      <w:r w:rsidRPr="00712DEF">
        <w:rPr>
          <w:lang w:val="en-GB"/>
        </w:rPr>
        <w:t xml:space="preserve">dependence on electron density was studied and compared between scenarios with double NBI, single NBI and only ohmic heating. </w:t>
      </w:r>
      <w:r>
        <w:rPr>
          <w:lang w:val="en-US"/>
        </w:rPr>
        <w:t>The hot ion mode was achieved in the double NBI scenario. The central ion temperature (up to 4 keV [3]) exceeded the central electron temperature (up to 1.6 keV) in the wide density range.</w:t>
      </w:r>
      <w:r w:rsidRPr="00DC4C37">
        <w:rPr>
          <w:lang w:val="en-GB"/>
        </w:rPr>
        <w:t xml:space="preserve"> </w:t>
      </w:r>
      <w:r w:rsidRPr="00084070">
        <w:rPr>
          <w:lang w:val="en-US"/>
        </w:rPr>
        <w:t xml:space="preserve">The study of the plasma energy balance indicated neoclassical ion thermal conductivity for the double NBI scenario. </w:t>
      </w:r>
    </w:p>
    <w:p w:rsidR="00031ED4" w:rsidRPr="00084070" w:rsidRDefault="00031ED4" w:rsidP="00031ED4">
      <w:pPr>
        <w:pStyle w:val="Zv-bodyreport"/>
        <w:rPr>
          <w:lang w:val="en-US"/>
        </w:rPr>
      </w:pPr>
      <w:r w:rsidRPr="00084070">
        <w:rPr>
          <w:lang w:val="en-US"/>
        </w:rPr>
        <w:t>The achieved results demonstrate the high ion temperatures in the compact spherical tokamak with a relatively low values of toroidal magnetic field and plasma current.</w:t>
      </w:r>
    </w:p>
    <w:p w:rsidR="00031ED4" w:rsidRPr="00484D52" w:rsidRDefault="00031ED4" w:rsidP="00031ED4">
      <w:pPr>
        <w:pStyle w:val="Zv-bodyreport"/>
        <w:spacing w:before="120"/>
        <w:rPr>
          <w:lang w:val="en-US"/>
        </w:rPr>
      </w:pPr>
      <w:r w:rsidRPr="00484D52">
        <w:rPr>
          <w:lang w:val="en-US"/>
        </w:rPr>
        <w:t xml:space="preserve">The </w:t>
      </w:r>
      <w:r>
        <w:rPr>
          <w:lang w:val="en-US"/>
        </w:rPr>
        <w:t>work</w:t>
      </w:r>
      <w:r w:rsidRPr="00484D52">
        <w:rPr>
          <w:lang w:val="en-US"/>
        </w:rPr>
        <w:t xml:space="preserve"> </w:t>
      </w:r>
      <w:r>
        <w:rPr>
          <w:lang w:val="en-US"/>
        </w:rPr>
        <w:t>was</w:t>
      </w:r>
      <w:r w:rsidRPr="00484D52">
        <w:rPr>
          <w:lang w:val="en-US"/>
        </w:rPr>
        <w:t xml:space="preserve"> carried out at the Unique Scientific</w:t>
      </w:r>
      <w:r>
        <w:rPr>
          <w:lang w:val="en-US"/>
        </w:rPr>
        <w:t xml:space="preserve"> </w:t>
      </w:r>
      <w:r w:rsidRPr="00484D52">
        <w:rPr>
          <w:lang w:val="en-US"/>
        </w:rPr>
        <w:t xml:space="preserve">Facility </w:t>
      </w:r>
      <w:r w:rsidRPr="00084070">
        <w:rPr>
          <w:lang w:val="en-GB"/>
        </w:rPr>
        <w:t>«</w:t>
      </w:r>
      <w:r w:rsidRPr="00484D52">
        <w:rPr>
          <w:lang w:val="en-US"/>
        </w:rPr>
        <w:t>S</w:t>
      </w:r>
      <w:r>
        <w:rPr>
          <w:lang w:val="en-US"/>
        </w:rPr>
        <w:t>pherical tokamak</w:t>
      </w:r>
      <w:r w:rsidRPr="00484D52">
        <w:rPr>
          <w:lang w:val="en-US"/>
        </w:rPr>
        <w:t xml:space="preserve"> Globus-M</w:t>
      </w:r>
      <w:r w:rsidRPr="00084070">
        <w:rPr>
          <w:lang w:val="en-GB"/>
        </w:rPr>
        <w:t>»</w:t>
      </w:r>
      <w:r w:rsidRPr="00484D52">
        <w:rPr>
          <w:lang w:val="en-US"/>
        </w:rPr>
        <w:t>, which is incorporated in the Federal</w:t>
      </w:r>
      <w:r>
        <w:rPr>
          <w:lang w:val="en-US"/>
        </w:rPr>
        <w:t xml:space="preserve"> </w:t>
      </w:r>
      <w:r w:rsidRPr="00484D52">
        <w:rPr>
          <w:lang w:val="en-US"/>
        </w:rPr>
        <w:t xml:space="preserve">Joint Research Center </w:t>
      </w:r>
      <w:r w:rsidRPr="00084070">
        <w:rPr>
          <w:lang w:val="en-GB"/>
        </w:rPr>
        <w:t>«</w:t>
      </w:r>
      <w:r w:rsidRPr="00484D52">
        <w:rPr>
          <w:lang w:val="en-US"/>
        </w:rPr>
        <w:t>Material science and characterization</w:t>
      </w:r>
      <w:r>
        <w:rPr>
          <w:lang w:val="en-US"/>
        </w:rPr>
        <w:t xml:space="preserve"> </w:t>
      </w:r>
      <w:r w:rsidRPr="00484D52">
        <w:rPr>
          <w:lang w:val="en-US"/>
        </w:rPr>
        <w:t>in advanced technology</w:t>
      </w:r>
      <w:r w:rsidRPr="00034852">
        <w:rPr>
          <w:lang w:val="en-GB"/>
        </w:rPr>
        <w:t>»</w:t>
      </w:r>
      <w:r>
        <w:rPr>
          <w:lang w:val="en-US"/>
        </w:rPr>
        <w:t xml:space="preserve"> </w:t>
      </w:r>
      <w:r w:rsidRPr="00484D52">
        <w:rPr>
          <w:lang w:val="en-US"/>
        </w:rPr>
        <w:t>within the framework of the state contract</w:t>
      </w:r>
      <w:r>
        <w:rPr>
          <w:lang w:val="en-US"/>
        </w:rPr>
        <w:t xml:space="preserve">s </w:t>
      </w:r>
      <w:r w:rsidRPr="00194324">
        <w:rPr>
          <w:lang w:val="en-US"/>
        </w:rPr>
        <w:t>of the Ioffe Institute (</w:t>
      </w:r>
      <w:r w:rsidRPr="00484D52">
        <w:rPr>
          <w:lang w:val="en-US"/>
        </w:rPr>
        <w:t>0034-2021-0001</w:t>
      </w:r>
      <w:r>
        <w:rPr>
          <w:lang w:val="en-US"/>
        </w:rPr>
        <w:t xml:space="preserve"> and</w:t>
      </w:r>
      <w:r w:rsidRPr="00F80403">
        <w:rPr>
          <w:lang w:val="en-US"/>
        </w:rPr>
        <w:t xml:space="preserve"> 0040-2019-0023</w:t>
      </w:r>
      <w:r>
        <w:rPr>
          <w:lang w:val="en-US"/>
        </w:rPr>
        <w:t>)</w:t>
      </w:r>
      <w:r w:rsidRPr="00F80403">
        <w:rPr>
          <w:lang w:val="en-US"/>
        </w:rPr>
        <w:t>.</w:t>
      </w:r>
    </w:p>
    <w:p w:rsidR="00031ED4" w:rsidRPr="00F82DD9" w:rsidRDefault="00031ED4" w:rsidP="00031ED4">
      <w:pPr>
        <w:pStyle w:val="Zv-TitleReferences-en"/>
      </w:pPr>
      <w:r>
        <w:rPr>
          <w:lang w:val="en-US"/>
        </w:rPr>
        <w:t>References</w:t>
      </w:r>
    </w:p>
    <w:p w:rsidR="00031ED4" w:rsidRPr="00031ED4" w:rsidRDefault="00031ED4" w:rsidP="00031ED4">
      <w:pPr>
        <w:pStyle w:val="Zv-References-en"/>
      </w:pPr>
      <w:r w:rsidRPr="00031ED4">
        <w:t>V.B. Minaev et al 2017 Nucl. Fusion 57 066047</w:t>
      </w:r>
    </w:p>
    <w:p w:rsidR="00031ED4" w:rsidRPr="00031ED4" w:rsidRDefault="00031ED4" w:rsidP="00031ED4">
      <w:pPr>
        <w:pStyle w:val="Zv-References-en"/>
      </w:pPr>
      <w:r w:rsidRPr="00031ED4">
        <w:t>Zhiltsov N.S., et.al. ICPAF-2021. 2021</w:t>
      </w:r>
    </w:p>
    <w:p w:rsidR="00031ED4" w:rsidRPr="00031ED4" w:rsidRDefault="00031ED4" w:rsidP="00031ED4">
      <w:pPr>
        <w:pStyle w:val="Zv-References-en"/>
      </w:pPr>
      <w:r w:rsidRPr="00031ED4">
        <w:t>G.S. Kurskiev et al 2022 Nucl. Fusion 62 104002</w:t>
      </w:r>
    </w:p>
    <w:p w:rsidR="00654A7B" w:rsidRPr="009D3AC4" w:rsidRDefault="00654A7B" w:rsidP="009D3AC4">
      <w:pPr>
        <w:rPr>
          <w:lang w:val="en-US"/>
        </w:rPr>
      </w:pPr>
    </w:p>
    <w:sectPr w:rsidR="00654A7B" w:rsidRPr="009D3AC4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F20" w:rsidRDefault="00491F20">
      <w:r>
        <w:separator/>
      </w:r>
    </w:p>
  </w:endnote>
  <w:endnote w:type="continuationSeparator" w:id="0">
    <w:p w:rsidR="00491F20" w:rsidRDefault="00491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505F59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505F59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63BA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F20" w:rsidRDefault="00491F20">
      <w:r>
        <w:separator/>
      </w:r>
    </w:p>
  </w:footnote>
  <w:footnote w:type="continuationSeparator" w:id="0">
    <w:p w:rsidR="00491F20" w:rsidRDefault="00491F20">
      <w:r>
        <w:continuationSeparator/>
      </w:r>
    </w:p>
  </w:footnote>
  <w:footnote w:id="1">
    <w:p w:rsidR="008663BA" w:rsidRPr="008663BA" w:rsidRDefault="008663BA">
      <w:pPr>
        <w:pStyle w:val="a8"/>
        <w:rPr>
          <w:lang w:val="en-US"/>
        </w:rPr>
      </w:pPr>
      <w:r w:rsidRPr="008663BA">
        <w:rPr>
          <w:rStyle w:val="aa"/>
          <w:lang w:val="en-US"/>
        </w:rPr>
        <w:t>*)</w:t>
      </w:r>
      <w:r w:rsidRPr="008663BA">
        <w:rPr>
          <w:lang w:val="en-US"/>
        </w:rPr>
        <w:t xml:space="preserve"> </w:t>
      </w:r>
      <w:hyperlink r:id="rId1" w:history="1">
        <w:r w:rsidRPr="008663BA">
          <w:rPr>
            <w:rStyle w:val="a7"/>
            <w:lang w:val="en-US"/>
          </w:rPr>
          <w:t>abstracts of this report in Russian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871582">
      <w:rPr>
        <w:sz w:val="20"/>
        <w:lang w:val="en-US"/>
      </w:rPr>
      <w:t>50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</w:t>
    </w:r>
    <w:r w:rsidR="006B5B24">
      <w:rPr>
        <w:sz w:val="20"/>
        <w:lang w:val="en-US"/>
      </w:rPr>
      <w:t>I</w:t>
    </w:r>
    <w:r w:rsidR="00EF07A9">
      <w:rPr>
        <w:sz w:val="20"/>
        <w:lang w:val="en-US"/>
      </w:rPr>
      <w:t xml:space="preserve">nternational </w:t>
    </w:r>
    <w:r w:rsidR="006B5B24">
      <w:rPr>
        <w:sz w:val="20"/>
        <w:lang w:val="en-US"/>
      </w:rPr>
      <w:t>C</w:t>
    </w:r>
    <w:r w:rsidR="00EF07A9">
      <w:rPr>
        <w:sz w:val="20"/>
        <w:lang w:val="en-US"/>
      </w:rPr>
      <w:t xml:space="preserve">onference on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lasma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hysics and CF, </w:t>
    </w:r>
    <w:r w:rsidR="00AE6185">
      <w:rPr>
        <w:sz w:val="20"/>
        <w:lang w:val="en-US"/>
      </w:rPr>
      <w:t>March</w:t>
    </w:r>
    <w:r w:rsidR="00EF07A9">
      <w:rPr>
        <w:sz w:val="20"/>
        <w:lang w:val="en-US"/>
      </w:rPr>
      <w:t xml:space="preserve">  </w:t>
    </w:r>
    <w:r w:rsidR="00871582">
      <w:rPr>
        <w:sz w:val="20"/>
        <w:lang w:val="en-US"/>
      </w:rPr>
      <w:t>20</w:t>
    </w:r>
    <w:r w:rsidR="00EF07A9">
      <w:rPr>
        <w:sz w:val="20"/>
        <w:lang w:val="en-US"/>
      </w:rPr>
      <w:t xml:space="preserve"> – </w:t>
    </w:r>
    <w:r w:rsidR="00871582">
      <w:rPr>
        <w:sz w:val="20"/>
        <w:lang w:val="en-US"/>
      </w:rPr>
      <w:t>24</w:t>
    </w:r>
    <w:r w:rsidR="00EF07A9">
      <w:rPr>
        <w:sz w:val="20"/>
        <w:lang w:val="en-US"/>
      </w:rPr>
      <w:t>, 20</w:t>
    </w:r>
    <w:r w:rsidR="008306AF">
      <w:rPr>
        <w:sz w:val="20"/>
        <w:lang w:val="en-US"/>
      </w:rPr>
      <w:t>2</w:t>
    </w:r>
    <w:r w:rsidR="00871582">
      <w:rPr>
        <w:sz w:val="20"/>
        <w:lang w:val="en-US"/>
      </w:rPr>
      <w:t>3</w:t>
    </w:r>
    <w:r w:rsidR="00EF07A9">
      <w:rPr>
        <w:sz w:val="20"/>
        <w:lang w:val="en-US"/>
      </w:rPr>
      <w:t>, Zvenigorod</w:t>
    </w:r>
  </w:p>
  <w:p w:rsidR="00654A7B" w:rsidRDefault="00505F59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54pt,1.2pt" to="6in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4D1C"/>
    <w:rsid w:val="00031ED4"/>
    <w:rsid w:val="00043701"/>
    <w:rsid w:val="00081366"/>
    <w:rsid w:val="000C657D"/>
    <w:rsid w:val="000C7078"/>
    <w:rsid w:val="000D76E9"/>
    <w:rsid w:val="000E495B"/>
    <w:rsid w:val="001C0CCB"/>
    <w:rsid w:val="00205708"/>
    <w:rsid w:val="00220629"/>
    <w:rsid w:val="0023083F"/>
    <w:rsid w:val="00247225"/>
    <w:rsid w:val="002E4D1C"/>
    <w:rsid w:val="003800F3"/>
    <w:rsid w:val="003A606B"/>
    <w:rsid w:val="003B5B93"/>
    <w:rsid w:val="003E0981"/>
    <w:rsid w:val="00401388"/>
    <w:rsid w:val="0043297E"/>
    <w:rsid w:val="00446025"/>
    <w:rsid w:val="00491F20"/>
    <w:rsid w:val="004A77D1"/>
    <w:rsid w:val="004B4ACC"/>
    <w:rsid w:val="004B72AA"/>
    <w:rsid w:val="004F4E29"/>
    <w:rsid w:val="00505F59"/>
    <w:rsid w:val="005074E3"/>
    <w:rsid w:val="00515724"/>
    <w:rsid w:val="00567C6F"/>
    <w:rsid w:val="00573BAD"/>
    <w:rsid w:val="0058676C"/>
    <w:rsid w:val="005F0746"/>
    <w:rsid w:val="005F764D"/>
    <w:rsid w:val="006038C3"/>
    <w:rsid w:val="00654A7B"/>
    <w:rsid w:val="00663B10"/>
    <w:rsid w:val="006B5B24"/>
    <w:rsid w:val="00732A2E"/>
    <w:rsid w:val="007B09C9"/>
    <w:rsid w:val="007B6378"/>
    <w:rsid w:val="007E06CE"/>
    <w:rsid w:val="00802D35"/>
    <w:rsid w:val="008306AF"/>
    <w:rsid w:val="008520F9"/>
    <w:rsid w:val="008663BA"/>
    <w:rsid w:val="00871582"/>
    <w:rsid w:val="008850EF"/>
    <w:rsid w:val="00906FF7"/>
    <w:rsid w:val="009D3AC4"/>
    <w:rsid w:val="00AE6185"/>
    <w:rsid w:val="00B622ED"/>
    <w:rsid w:val="00B9584E"/>
    <w:rsid w:val="00C103CD"/>
    <w:rsid w:val="00C232A0"/>
    <w:rsid w:val="00C5751F"/>
    <w:rsid w:val="00D47F19"/>
    <w:rsid w:val="00D75E08"/>
    <w:rsid w:val="00D900FB"/>
    <w:rsid w:val="00D92E54"/>
    <w:rsid w:val="00DC6E63"/>
    <w:rsid w:val="00E118BE"/>
    <w:rsid w:val="00E7021A"/>
    <w:rsid w:val="00E87733"/>
    <w:rsid w:val="00EE371E"/>
    <w:rsid w:val="00EF07A9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ED4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paragraph" w:customStyle="1" w:styleId="Default">
    <w:name w:val="Default"/>
    <w:rsid w:val="00031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Hyperlink"/>
    <w:basedOn w:val="a0"/>
    <w:rsid w:val="00031ED4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8663BA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63BA"/>
  </w:style>
  <w:style w:type="character" w:styleId="aa">
    <w:name w:val="footnote reference"/>
    <w:basedOn w:val="a0"/>
    <w:rsid w:val="008663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ovru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L/Mu/ru/AB-Zhiltsov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3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C7E6-DA8B-4949-81FD-D694CF4B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Zven_2023_e.dotx</Template>
  <TotalTime>14</TotalTime>
  <Pages>1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PLASMA HEATING STUDY DURING NEUTRAL BEAM INJECTION AT GLOBUS-M2 TOKAMAK</dc:title>
  <dc:creator/>
  <cp:lastModifiedBy>Сатунин</cp:lastModifiedBy>
  <cp:revision>3</cp:revision>
  <cp:lastPrinted>1601-01-01T00:00:00Z</cp:lastPrinted>
  <dcterms:created xsi:type="dcterms:W3CDTF">2023-01-29T11:52:00Z</dcterms:created>
  <dcterms:modified xsi:type="dcterms:W3CDTF">2023-05-12T13:12:00Z</dcterms:modified>
</cp:coreProperties>
</file>