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F5" w:rsidRPr="00FA24F5" w:rsidRDefault="00BD42F5" w:rsidP="00BD42F5">
      <w:pPr>
        <w:pStyle w:val="Zv-Titlereport"/>
      </w:pPr>
      <w:r w:rsidRPr="00163996">
        <w:t>НЕОЖИДАННЫЕ ОСОБЕННОСТИ ЗАЖИГАНИЯ САМОСТОЯТЕЛЬНОГО</w:t>
      </w:r>
      <w:r w:rsidRPr="00BD42F5">
        <w:t xml:space="preserve"> </w:t>
      </w:r>
      <w:r w:rsidRPr="00163996">
        <w:t>РАЗРЯД</w:t>
      </w:r>
      <w:r>
        <w:t>А</w:t>
      </w:r>
      <w:r w:rsidRPr="00163996">
        <w:t xml:space="preserve"> В СКРЕЩЕННЫХ</w:t>
      </w:r>
      <w:r w:rsidRPr="00BD42F5">
        <w:t xml:space="preserve"> </w:t>
      </w:r>
      <w:r w:rsidRPr="00754FAF">
        <w:t>ЭЛЕКТРИЧЕСКОМ И МАГНИТНОМ ПОЛЯХ</w:t>
      </w:r>
      <w:r w:rsidR="00FA24F5" w:rsidRPr="00FA24F5">
        <w:t xml:space="preserve"> </w:t>
      </w:r>
      <w:r w:rsidR="00FA24F5">
        <w:rPr>
          <w:rStyle w:val="aa"/>
        </w:rPr>
        <w:footnoteReference w:customMarkFollows="1" w:id="1"/>
        <w:t>*)</w:t>
      </w:r>
    </w:p>
    <w:p w:rsidR="00BD42F5" w:rsidRDefault="00BD42F5" w:rsidP="00BD42F5">
      <w:pPr>
        <w:pStyle w:val="Zv-Author"/>
      </w:pPr>
      <w:r w:rsidRPr="006E3F5F">
        <w:rPr>
          <w:u w:val="single"/>
        </w:rPr>
        <w:t>Строкин Н.А.</w:t>
      </w:r>
      <w:r>
        <w:t>, Ригин А.В.</w:t>
      </w:r>
    </w:p>
    <w:p w:rsidR="00BD42F5" w:rsidRPr="00BD42F5" w:rsidRDefault="00BD42F5" w:rsidP="00BD42F5">
      <w:pPr>
        <w:pStyle w:val="Zv-Organization"/>
        <w:rPr>
          <w:iCs/>
        </w:rPr>
      </w:pPr>
      <w:r w:rsidRPr="005C38F8">
        <w:t>Иркутский национальный исследовательский технический университет</w:t>
      </w:r>
      <w:r w:rsidRPr="00BD42F5">
        <w:t>,</w:t>
      </w:r>
      <w:r w:rsidRPr="005C38F8">
        <w:t xml:space="preserve"> </w:t>
      </w:r>
      <w:hyperlink r:id="rId8" w:history="1">
        <w:r w:rsidRPr="00841635">
          <w:rPr>
            <w:rStyle w:val="a7"/>
            <w:lang w:val="en-US"/>
          </w:rPr>
          <w:t>strokin</w:t>
        </w:r>
        <w:r w:rsidRPr="00841635">
          <w:rPr>
            <w:rStyle w:val="a7"/>
          </w:rPr>
          <w:t>85@</w:t>
        </w:r>
        <w:r w:rsidRPr="00841635">
          <w:rPr>
            <w:rStyle w:val="a7"/>
            <w:lang w:val="en-US"/>
          </w:rPr>
          <w:t>inbox</w:t>
        </w:r>
        <w:r w:rsidRPr="00841635">
          <w:rPr>
            <w:rStyle w:val="a7"/>
          </w:rPr>
          <w:t>.</w:t>
        </w:r>
        <w:r w:rsidRPr="00841635">
          <w:rPr>
            <w:rStyle w:val="a7"/>
            <w:lang w:val="en-US"/>
          </w:rPr>
          <w:t>ru</w:t>
        </w:r>
      </w:hyperlink>
      <w:r w:rsidRPr="005C38F8">
        <w:t xml:space="preserve">, </w:t>
      </w:r>
      <w:hyperlink r:id="rId9" w:history="1">
        <w:r w:rsidRPr="00841635">
          <w:rPr>
            <w:rStyle w:val="a7"/>
            <w:iCs/>
            <w:lang w:val="en-US"/>
          </w:rPr>
          <w:t>arseniy</w:t>
        </w:r>
        <w:r w:rsidRPr="00841635">
          <w:rPr>
            <w:rStyle w:val="a7"/>
            <w:iCs/>
          </w:rPr>
          <w:t>.</w:t>
        </w:r>
        <w:r w:rsidRPr="00841635">
          <w:rPr>
            <w:rStyle w:val="a7"/>
            <w:iCs/>
            <w:lang w:val="en-US"/>
          </w:rPr>
          <w:t>rigin</w:t>
        </w:r>
        <w:r w:rsidRPr="00841635">
          <w:rPr>
            <w:rStyle w:val="a7"/>
            <w:iCs/>
          </w:rPr>
          <w:t>@</w:t>
        </w:r>
        <w:r w:rsidRPr="00841635">
          <w:rPr>
            <w:rStyle w:val="a7"/>
            <w:iCs/>
            <w:lang w:val="en-US"/>
          </w:rPr>
          <w:t>mail</w:t>
        </w:r>
        <w:r w:rsidRPr="00841635">
          <w:rPr>
            <w:rStyle w:val="a7"/>
            <w:iCs/>
          </w:rPr>
          <w:t>.</w:t>
        </w:r>
        <w:r w:rsidRPr="00841635">
          <w:rPr>
            <w:rStyle w:val="a7"/>
            <w:iCs/>
            <w:lang w:val="en-US"/>
          </w:rPr>
          <w:t>ru</w:t>
        </w:r>
      </w:hyperlink>
    </w:p>
    <w:p w:rsidR="00BD42F5" w:rsidRDefault="00BD42F5" w:rsidP="00BD42F5">
      <w:pPr>
        <w:pStyle w:val="Zv-bodyreport"/>
        <w:spacing w:after="240"/>
      </w:pPr>
      <w:r w:rsidRPr="00D02FC1">
        <w:rPr>
          <w:bCs/>
        </w:rPr>
        <w:t xml:space="preserve">Понимание </w:t>
      </w:r>
      <w:r>
        <w:rPr>
          <w:bCs/>
        </w:rPr>
        <w:t xml:space="preserve">того, что поток ионов, покидающих </w:t>
      </w:r>
      <w:r w:rsidRPr="00D02FC1">
        <w:rPr>
          <w:bCs/>
        </w:rPr>
        <w:t>зону</w:t>
      </w:r>
      <w:r>
        <w:rPr>
          <w:bCs/>
        </w:rPr>
        <w:t xml:space="preserve"> самостоятельного разряда в скрещенных электрическом и магнитном полях</w:t>
      </w:r>
      <w:r w:rsidRPr="00D02FC1">
        <w:rPr>
          <w:bCs/>
        </w:rPr>
        <w:t xml:space="preserve"> </w:t>
      </w:r>
      <w:r>
        <w:rPr>
          <w:bCs/>
        </w:rPr>
        <w:t>(</w:t>
      </w:r>
      <w:r w:rsidRPr="00D02FC1">
        <w:rPr>
          <w:i/>
          <w:color w:val="000000"/>
        </w:rPr>
        <w:t>Е</w:t>
      </w:r>
      <w:r w:rsidRPr="00D02FC1">
        <w:rPr>
          <w:color w:val="000000"/>
        </w:rPr>
        <w:sym w:font="Symbol" w:char="F0B4"/>
      </w:r>
      <w:r w:rsidRPr="00D02FC1">
        <w:rPr>
          <w:i/>
          <w:color w:val="000000"/>
        </w:rPr>
        <w:t>В</w:t>
      </w:r>
      <w:r w:rsidRPr="00D02FC1">
        <w:rPr>
          <w:color w:val="000000"/>
        </w:rPr>
        <w:t xml:space="preserve"> </w:t>
      </w:r>
      <w:r w:rsidRPr="00D02FC1">
        <w:t>разряда</w:t>
      </w:r>
      <w:r>
        <w:t xml:space="preserve">), может быть индикатором процесса поджига – появления электронов и плазмы в промежутке анод-катод ускорителя с анодным слоем (УАС), привело к проведению эксперимента по измерению величин напряжения зажигания </w:t>
      </w:r>
      <w:r w:rsidRPr="00D02FC1">
        <w:rPr>
          <w:i/>
          <w:iCs/>
          <w:lang w:val="en-US"/>
        </w:rPr>
        <w:t>U</w:t>
      </w:r>
      <w:r w:rsidRPr="00D02FC1">
        <w:rPr>
          <w:i/>
          <w:iCs/>
          <w:vertAlign w:val="subscript"/>
          <w:lang w:val="en-US"/>
        </w:rPr>
        <w:t>ig</w:t>
      </w:r>
      <w:r>
        <w:t xml:space="preserve"> (анод-катод УАС) и радиальной компоненты индукции магнитного поля на катоде УАС </w:t>
      </w:r>
      <w:r w:rsidRPr="00D02FC1">
        <w:rPr>
          <w:i/>
          <w:iCs/>
          <w:lang w:val="en-US"/>
        </w:rPr>
        <w:t>B</w:t>
      </w:r>
      <w:r w:rsidRPr="00D02FC1">
        <w:rPr>
          <w:i/>
          <w:iCs/>
          <w:vertAlign w:val="subscript"/>
          <w:lang w:val="en-US"/>
        </w:rPr>
        <w:t>rKig</w:t>
      </w:r>
      <w:r w:rsidRPr="00D02FC1">
        <w:t xml:space="preserve"> </w:t>
      </w:r>
      <w:r>
        <w:t xml:space="preserve">в момент появления сигнала на коллекторе ионов. Дополнительным преимуществом «ионного отслеживания» стала возможность в явном виде показать, что самостоятельный </w:t>
      </w:r>
      <w:r w:rsidRPr="00D02FC1">
        <w:rPr>
          <w:i/>
          <w:color w:val="000000"/>
        </w:rPr>
        <w:t>Е</w:t>
      </w:r>
      <w:r w:rsidRPr="00D02FC1">
        <w:rPr>
          <w:color w:val="000000"/>
        </w:rPr>
        <w:sym w:font="Symbol" w:char="F0B4"/>
      </w:r>
      <w:r w:rsidRPr="00D02FC1">
        <w:rPr>
          <w:i/>
          <w:color w:val="000000"/>
        </w:rPr>
        <w:t>В</w:t>
      </w:r>
      <w:r w:rsidRPr="00D02FC1">
        <w:rPr>
          <w:color w:val="000000"/>
        </w:rPr>
        <w:t xml:space="preserve"> </w:t>
      </w:r>
      <w:r w:rsidRPr="00D02FC1">
        <w:t>разряд</w:t>
      </w:r>
      <w:r>
        <w:t xml:space="preserve"> действительно </w:t>
      </w:r>
      <w:r w:rsidRPr="00D02FC1">
        <w:t>распространя</w:t>
      </w:r>
      <w:r>
        <w:t>ется</w:t>
      </w:r>
      <w:r w:rsidRPr="00D02FC1">
        <w:t xml:space="preserve"> на весь промежуток анод-катод</w:t>
      </w:r>
      <w:r>
        <w:t>, так как на коллектор ионов, который являлся элементом энергоанализатора с задерживающим потенциалом (</w:t>
      </w:r>
      <w:r>
        <w:rPr>
          <w:lang w:val="en-US"/>
        </w:rPr>
        <w:t>RFA</w:t>
      </w:r>
      <w:r>
        <w:t xml:space="preserve">), в момент зажигания приходят </w:t>
      </w:r>
      <w:r w:rsidRPr="00D02FC1">
        <w:t xml:space="preserve">ионы с энергиями 50 </w:t>
      </w:r>
      <w:r>
        <w:t xml:space="preserve">эВ </w:t>
      </w:r>
      <w:r w:rsidRPr="00D02FC1">
        <w:sym w:font="Symbol" w:char="F0A3"/>
      </w:r>
      <w:r w:rsidRPr="00D02FC1">
        <w:t xml:space="preserve"> </w:t>
      </w:r>
      <w:r w:rsidRPr="00D02FC1">
        <w:rPr>
          <w:i/>
          <w:iCs/>
          <w:lang w:val="en-US"/>
        </w:rPr>
        <w:t>W</w:t>
      </w:r>
      <w:r w:rsidRPr="00D02FC1">
        <w:rPr>
          <w:i/>
          <w:iCs/>
          <w:vertAlign w:val="subscript"/>
          <w:lang w:val="en-US"/>
        </w:rPr>
        <w:t>i</w:t>
      </w:r>
      <w:r w:rsidRPr="00D02FC1">
        <w:t xml:space="preserve"> </w:t>
      </w:r>
      <w:r w:rsidRPr="00D02FC1">
        <w:sym w:font="Symbol" w:char="F0A3"/>
      </w:r>
      <w:r w:rsidRPr="00D02FC1">
        <w:t xml:space="preserve"> </w:t>
      </w:r>
      <w:r w:rsidRPr="00D02FC1">
        <w:rPr>
          <w:i/>
          <w:iCs/>
          <w:lang w:val="en-US"/>
        </w:rPr>
        <w:t>eU</w:t>
      </w:r>
      <w:r w:rsidRPr="00D02FC1">
        <w:rPr>
          <w:i/>
          <w:iCs/>
          <w:vertAlign w:val="subscript"/>
          <w:lang w:val="en-US"/>
        </w:rPr>
        <w:t>A</w:t>
      </w:r>
      <w:r>
        <w:t xml:space="preserve"> </w:t>
      </w:r>
      <w:r w:rsidRPr="003B21FA">
        <w:t>(</w:t>
      </w:r>
      <w:r w:rsidRPr="00B35061">
        <w:rPr>
          <w:i/>
          <w:lang w:val="en-US"/>
        </w:rPr>
        <w:t>U</w:t>
      </w:r>
      <w:r w:rsidRPr="00B35061">
        <w:rPr>
          <w:i/>
          <w:vertAlign w:val="subscript"/>
          <w:lang w:val="en-US"/>
        </w:rPr>
        <w:t>A</w:t>
      </w:r>
      <w:r w:rsidRPr="00B35061">
        <w:t xml:space="preserve"> – потенциал анода</w:t>
      </w:r>
      <w:r w:rsidRPr="003B21FA">
        <w:t>)</w:t>
      </w:r>
      <w:r w:rsidRPr="00B35061">
        <w:t xml:space="preserve">. В результате обнаружены 2 стационарных режима </w:t>
      </w:r>
      <w:r w:rsidRPr="00B35061">
        <w:rPr>
          <w:i/>
          <w:color w:val="000000"/>
        </w:rPr>
        <w:t>Е</w:t>
      </w:r>
      <w:r w:rsidRPr="00B35061">
        <w:rPr>
          <w:color w:val="000000"/>
        </w:rPr>
        <w:sym w:font="Symbol" w:char="F0B4"/>
      </w:r>
      <w:r w:rsidRPr="00B35061">
        <w:rPr>
          <w:i/>
          <w:color w:val="000000"/>
        </w:rPr>
        <w:t>В</w:t>
      </w:r>
      <w:r w:rsidRPr="00B35061">
        <w:rPr>
          <w:color w:val="000000"/>
        </w:rPr>
        <w:t xml:space="preserve"> </w:t>
      </w:r>
      <w:r w:rsidRPr="00B35061">
        <w:t xml:space="preserve">разряда, </w:t>
      </w:r>
      <w:r>
        <w:t xml:space="preserve">причем </w:t>
      </w:r>
      <w:r w:rsidRPr="00B35061">
        <w:t>каждый из них старту</w:t>
      </w:r>
      <w:r>
        <w:t>ет</w:t>
      </w:r>
      <w:r w:rsidRPr="00B35061">
        <w:t xml:space="preserve"> с моментов поджига – резкого роста разрядного тока от 0 (нейтральный газ) до </w:t>
      </w:r>
      <w:r w:rsidRPr="00B35061">
        <w:rPr>
          <w:i/>
          <w:iCs/>
          <w:lang w:val="en-US"/>
        </w:rPr>
        <w:t>I</w:t>
      </w:r>
      <w:r w:rsidRPr="00B35061">
        <w:rPr>
          <w:vertAlign w:val="subscript"/>
        </w:rPr>
        <w:t>1</w:t>
      </w:r>
      <w:r w:rsidRPr="00B35061">
        <w:t xml:space="preserve"> (точка </w:t>
      </w:r>
      <w:r w:rsidRPr="00B35061">
        <w:rPr>
          <w:i/>
          <w:iCs/>
          <w:lang w:val="en-US"/>
        </w:rPr>
        <w:t>B</w:t>
      </w:r>
      <w:r w:rsidRPr="00B35061">
        <w:t xml:space="preserve"> на рис. 1а) и с </w:t>
      </w:r>
      <w:r w:rsidRPr="00B35061">
        <w:rPr>
          <w:i/>
          <w:iCs/>
          <w:lang w:val="en-US"/>
        </w:rPr>
        <w:t>I</w:t>
      </w:r>
      <w:r w:rsidRPr="00B35061">
        <w:rPr>
          <w:vertAlign w:val="subscript"/>
        </w:rPr>
        <w:t>1</w:t>
      </w:r>
      <w:r w:rsidRPr="00B35061">
        <w:t xml:space="preserve"> (стационарный режим аномального тлеющего </w:t>
      </w:r>
      <w:r w:rsidRPr="00B35061">
        <w:rPr>
          <w:i/>
          <w:color w:val="000000"/>
        </w:rPr>
        <w:t>Е</w:t>
      </w:r>
      <w:r w:rsidRPr="00B35061">
        <w:rPr>
          <w:color w:val="000000"/>
        </w:rPr>
        <w:sym w:font="Symbol" w:char="F0B4"/>
      </w:r>
      <w:r w:rsidRPr="00B35061">
        <w:rPr>
          <w:i/>
          <w:color w:val="000000"/>
        </w:rPr>
        <w:t>В</w:t>
      </w:r>
      <w:r w:rsidRPr="00B35061">
        <w:rPr>
          <w:color w:val="000000"/>
        </w:rPr>
        <w:t xml:space="preserve"> </w:t>
      </w:r>
      <w:r w:rsidRPr="00B35061">
        <w:t xml:space="preserve">разряда) до </w:t>
      </w:r>
      <w:r w:rsidRPr="00B35061">
        <w:rPr>
          <w:i/>
          <w:iCs/>
          <w:lang w:val="en-US"/>
        </w:rPr>
        <w:t>I</w:t>
      </w:r>
      <w:r w:rsidRPr="00B35061">
        <w:rPr>
          <w:vertAlign w:val="subscript"/>
        </w:rPr>
        <w:t>2</w:t>
      </w:r>
      <w:r w:rsidRPr="00B35061">
        <w:t xml:space="preserve"> (точка </w:t>
      </w:r>
      <w:r w:rsidRPr="00B35061">
        <w:rPr>
          <w:i/>
          <w:iCs/>
          <w:lang w:val="en-US"/>
        </w:rPr>
        <w:t>D</w:t>
      </w:r>
      <w:r w:rsidRPr="00B35061">
        <w:t xml:space="preserve"> на рис. 1а). Два скачка тока «в режим</w:t>
      </w:r>
      <w:r w:rsidRPr="006A37A3">
        <w:t xml:space="preserve"> </w:t>
      </w:r>
      <w:r>
        <w:t>тлеющего разряда</w:t>
      </w:r>
      <w:r w:rsidRPr="00B35061">
        <w:t xml:space="preserve">» и в режиме тлеющего разряда – это принципиальное отличие </w:t>
      </w:r>
      <w:r w:rsidRPr="00B35061">
        <w:rPr>
          <w:i/>
          <w:color w:val="000000"/>
        </w:rPr>
        <w:t>Е</w:t>
      </w:r>
      <w:r w:rsidRPr="00B35061">
        <w:rPr>
          <w:color w:val="000000"/>
        </w:rPr>
        <w:sym w:font="Symbol" w:char="F0B4"/>
      </w:r>
      <w:r w:rsidRPr="00B35061">
        <w:rPr>
          <w:i/>
          <w:color w:val="000000"/>
        </w:rPr>
        <w:t>В</w:t>
      </w:r>
      <w:r w:rsidRPr="00B35061">
        <w:rPr>
          <w:color w:val="000000"/>
        </w:rPr>
        <w:t xml:space="preserve"> </w:t>
      </w:r>
      <w:r w:rsidRPr="00B35061">
        <w:t xml:space="preserve">разряда от разряда без магнитного поля. Можно выстроить следующую линейку генерации </w:t>
      </w:r>
      <w:r w:rsidRPr="00B35061">
        <w:rPr>
          <w:i/>
          <w:color w:val="000000"/>
        </w:rPr>
        <w:t>Е</w:t>
      </w:r>
      <w:r w:rsidRPr="00B35061">
        <w:rPr>
          <w:color w:val="000000"/>
        </w:rPr>
        <w:sym w:font="Symbol" w:char="F0B4"/>
      </w:r>
      <w:r w:rsidRPr="00B35061">
        <w:rPr>
          <w:i/>
          <w:color w:val="000000"/>
        </w:rPr>
        <w:t>В</w:t>
      </w:r>
      <w:r w:rsidRPr="00B35061">
        <w:rPr>
          <w:color w:val="000000"/>
        </w:rPr>
        <w:t xml:space="preserve"> </w:t>
      </w:r>
      <w:r w:rsidRPr="00B35061">
        <w:t xml:space="preserve">разряда: режим </w:t>
      </w:r>
      <w:r w:rsidRPr="00B35061">
        <w:rPr>
          <w:lang w:val="en-US"/>
        </w:rPr>
        <w:t>I</w:t>
      </w:r>
      <w:r w:rsidRPr="00B35061">
        <w:t xml:space="preserve"> аномального тлею</w:t>
      </w:r>
      <w:r>
        <w:t xml:space="preserve">щего разряда – режим </w:t>
      </w:r>
      <w:r>
        <w:rPr>
          <w:lang w:val="en-US"/>
        </w:rPr>
        <w:t>II</w:t>
      </w:r>
      <w:r w:rsidRPr="00BB386B">
        <w:t xml:space="preserve"> </w:t>
      </w:r>
      <w:r>
        <w:t>аномального тлеющего разряда – дуговой разряд.</w:t>
      </w:r>
    </w:p>
    <w:p w:rsidR="00BD42F5" w:rsidRDefault="00BD42F5" w:rsidP="00BD42F5">
      <w:pPr>
        <w:contextualSpacing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125095</wp:posOffset>
            </wp:positionV>
            <wp:extent cx="3960000" cy="1680944"/>
            <wp:effectExtent l="0" t="0" r="2540" b="0"/>
            <wp:wrapTight wrapText="bothSides">
              <wp:wrapPolygon edited="0">
                <wp:start x="0" y="0"/>
                <wp:lineTo x="0" y="21298"/>
                <wp:lineTo x="21510" y="21298"/>
                <wp:lineTo x="21510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168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6B6B">
        <w:t xml:space="preserve">Рис. </w:t>
      </w:r>
      <w:r>
        <w:t>1</w:t>
      </w:r>
      <w:r w:rsidRPr="008A6B6B">
        <w:t xml:space="preserve">. Кривая зажигания </w:t>
      </w:r>
      <w:r w:rsidRPr="008A6B6B">
        <w:rPr>
          <w:i/>
          <w:iCs/>
        </w:rPr>
        <w:t>Е</w:t>
      </w:r>
      <w:r w:rsidRPr="008A6B6B">
        <w:sym w:font="Symbol" w:char="F0B4"/>
      </w:r>
      <w:r w:rsidRPr="008A6B6B">
        <w:rPr>
          <w:i/>
          <w:iCs/>
        </w:rPr>
        <w:t>В</w:t>
      </w:r>
      <w:r w:rsidRPr="008A6B6B">
        <w:t xml:space="preserve"> разряда: </w:t>
      </w:r>
      <w:r w:rsidRPr="008A6B6B">
        <w:rPr>
          <w:bCs/>
          <w:i/>
          <w:iCs/>
          <w:lang w:val="en-US"/>
        </w:rPr>
        <w:t>dU</w:t>
      </w:r>
      <w:r w:rsidRPr="008A6B6B">
        <w:rPr>
          <w:bCs/>
          <w:i/>
          <w:iCs/>
          <w:vertAlign w:val="subscript"/>
          <w:lang w:val="en-US"/>
        </w:rPr>
        <w:t>RFA</w:t>
      </w:r>
      <w:r w:rsidRPr="008A6B6B">
        <w:rPr>
          <w:bCs/>
        </w:rPr>
        <w:t>/</w:t>
      </w:r>
      <w:r w:rsidRPr="008A6B6B">
        <w:rPr>
          <w:bCs/>
          <w:i/>
          <w:iCs/>
          <w:lang w:val="en-US"/>
        </w:rPr>
        <w:t>dt</w:t>
      </w:r>
      <w:r w:rsidRPr="008A6B6B">
        <w:rPr>
          <w:bCs/>
        </w:rPr>
        <w:t xml:space="preserve"> = (2 В)/(30 мс);</w:t>
      </w:r>
      <w:r w:rsidRPr="008A6B6B">
        <w:t xml:space="preserve"> </w:t>
      </w:r>
      <w:r w:rsidRPr="008A6B6B">
        <w:rPr>
          <w:i/>
          <w:iCs/>
        </w:rPr>
        <w:t>а</w:t>
      </w:r>
      <w:r w:rsidRPr="008A6B6B">
        <w:t xml:space="preserve">) неон, </w:t>
      </w:r>
      <w:r>
        <w:t xml:space="preserve">скорость напуска </w:t>
      </w:r>
      <w:r w:rsidRPr="008A6B6B">
        <w:rPr>
          <w:i/>
          <w:iCs/>
          <w:lang w:val="en-US"/>
        </w:rPr>
        <w:t>q</w:t>
      </w:r>
      <w:r w:rsidRPr="00207303">
        <w:rPr>
          <w:i/>
          <w:vertAlign w:val="subscript"/>
          <w:lang w:val="en-US"/>
        </w:rPr>
        <w:t>Ne</w:t>
      </w:r>
      <w:r w:rsidRPr="008A6B6B">
        <w:t xml:space="preserve"> = 80 см</w:t>
      </w:r>
      <w:r w:rsidRPr="008A6B6B">
        <w:rPr>
          <w:vertAlign w:val="superscript"/>
        </w:rPr>
        <w:t>3</w:t>
      </w:r>
      <w:r w:rsidRPr="008A6B6B">
        <w:t xml:space="preserve">/мин, </w:t>
      </w:r>
      <w:r w:rsidRPr="008A6B6B">
        <w:rPr>
          <w:i/>
          <w:iCs/>
          <w:lang w:val="en-US"/>
        </w:rPr>
        <w:t>U</w:t>
      </w:r>
      <w:r w:rsidRPr="008A6B6B">
        <w:rPr>
          <w:i/>
          <w:iCs/>
          <w:vertAlign w:val="subscript"/>
          <w:lang w:val="en-US"/>
        </w:rPr>
        <w:t>ig</w:t>
      </w:r>
      <w:r w:rsidRPr="008A6B6B">
        <w:rPr>
          <w:vertAlign w:val="subscript"/>
        </w:rPr>
        <w:t xml:space="preserve"> </w:t>
      </w:r>
      <w:r w:rsidRPr="008A6B6B">
        <w:t xml:space="preserve">= 1150 В, </w:t>
      </w:r>
      <w:r w:rsidRPr="008A6B6B">
        <w:rPr>
          <w:i/>
          <w:iCs/>
        </w:rPr>
        <w:t>В</w:t>
      </w:r>
      <w:r w:rsidRPr="008A6B6B">
        <w:rPr>
          <w:i/>
          <w:iCs/>
          <w:vertAlign w:val="subscript"/>
          <w:lang w:val="en-US"/>
        </w:rPr>
        <w:t>rKig</w:t>
      </w:r>
      <w:r w:rsidRPr="008A6B6B">
        <w:rPr>
          <w:i/>
          <w:iCs/>
          <w:vertAlign w:val="subscript"/>
        </w:rPr>
        <w:t>.</w:t>
      </w:r>
      <w:r w:rsidRPr="008A6B6B">
        <w:rPr>
          <w:vertAlign w:val="subscript"/>
          <w:lang w:val="en-US"/>
        </w:rPr>
        <w:t>I</w:t>
      </w:r>
      <w:r w:rsidRPr="008A6B6B">
        <w:t xml:space="preserve"> = 1477 Гс,  </w:t>
      </w:r>
      <w:r w:rsidRPr="008A6B6B">
        <w:rPr>
          <w:i/>
          <w:iCs/>
        </w:rPr>
        <w:t>В</w:t>
      </w:r>
      <w:r w:rsidRPr="008A6B6B">
        <w:rPr>
          <w:i/>
          <w:iCs/>
          <w:vertAlign w:val="subscript"/>
          <w:lang w:val="en-US"/>
        </w:rPr>
        <w:t>rKig</w:t>
      </w:r>
      <w:r w:rsidRPr="008A6B6B">
        <w:rPr>
          <w:i/>
          <w:iCs/>
          <w:vertAlign w:val="subscript"/>
        </w:rPr>
        <w:t>.</w:t>
      </w:r>
      <w:r w:rsidRPr="008A6B6B">
        <w:rPr>
          <w:vertAlign w:val="subscript"/>
          <w:lang w:val="en-US"/>
        </w:rPr>
        <w:t>II</w:t>
      </w:r>
      <w:r w:rsidRPr="008A6B6B">
        <w:t xml:space="preserve"> = 2145 Гс; </w:t>
      </w:r>
      <w:r w:rsidRPr="008A6B6B">
        <w:rPr>
          <w:i/>
          <w:iCs/>
          <w:lang w:val="en-US"/>
        </w:rPr>
        <w:t>b</w:t>
      </w:r>
      <w:r w:rsidRPr="008A6B6B">
        <w:t>) аргон, 5 см</w:t>
      </w:r>
      <w:r w:rsidRPr="008A6B6B">
        <w:rPr>
          <w:vertAlign w:val="superscript"/>
        </w:rPr>
        <w:t>3</w:t>
      </w:r>
      <w:r w:rsidRPr="008A6B6B">
        <w:t xml:space="preserve">/мин, </w:t>
      </w:r>
      <w:r w:rsidRPr="008A6B6B">
        <w:rPr>
          <w:i/>
          <w:iCs/>
          <w:lang w:val="en-US"/>
        </w:rPr>
        <w:t>U</w:t>
      </w:r>
      <w:r w:rsidRPr="008A6B6B">
        <w:rPr>
          <w:i/>
          <w:iCs/>
          <w:vertAlign w:val="subscript"/>
          <w:lang w:val="en-US"/>
        </w:rPr>
        <w:t>ig</w:t>
      </w:r>
      <w:r w:rsidRPr="008A6B6B">
        <w:rPr>
          <w:vertAlign w:val="subscript"/>
        </w:rPr>
        <w:t xml:space="preserve"> </w:t>
      </w:r>
      <w:r w:rsidRPr="008A6B6B">
        <w:t xml:space="preserve">= 1044 В, </w:t>
      </w:r>
      <w:r w:rsidRPr="008A6B6B">
        <w:rPr>
          <w:i/>
          <w:iCs/>
        </w:rPr>
        <w:t>В</w:t>
      </w:r>
      <w:r w:rsidRPr="008A6B6B">
        <w:rPr>
          <w:i/>
          <w:iCs/>
          <w:vertAlign w:val="subscript"/>
          <w:lang w:val="en-US"/>
        </w:rPr>
        <w:t>rKig</w:t>
      </w:r>
      <w:r w:rsidRPr="008A6B6B">
        <w:rPr>
          <w:i/>
          <w:iCs/>
          <w:vertAlign w:val="subscript"/>
        </w:rPr>
        <w:t>.</w:t>
      </w:r>
      <w:r w:rsidRPr="008A6B6B">
        <w:rPr>
          <w:vertAlign w:val="subscript"/>
          <w:lang w:val="en-US"/>
        </w:rPr>
        <w:t>I</w:t>
      </w:r>
      <w:r w:rsidRPr="008A6B6B">
        <w:t xml:space="preserve"> = 1427 Гс, </w:t>
      </w:r>
      <w:r w:rsidRPr="008A6B6B">
        <w:rPr>
          <w:i/>
          <w:iCs/>
        </w:rPr>
        <w:t>В</w:t>
      </w:r>
      <w:r w:rsidRPr="008A6B6B">
        <w:rPr>
          <w:i/>
          <w:iCs/>
          <w:vertAlign w:val="subscript"/>
          <w:lang w:val="en-US"/>
        </w:rPr>
        <w:t>rKig</w:t>
      </w:r>
      <w:r w:rsidRPr="008A6B6B">
        <w:rPr>
          <w:i/>
          <w:iCs/>
          <w:vertAlign w:val="subscript"/>
        </w:rPr>
        <w:t>.</w:t>
      </w:r>
      <w:r w:rsidRPr="008A6B6B">
        <w:rPr>
          <w:vertAlign w:val="subscript"/>
          <w:lang w:val="en-US"/>
        </w:rPr>
        <w:t>II</w:t>
      </w:r>
      <w:r w:rsidRPr="008A6B6B">
        <w:t xml:space="preserve"> = 1625 Гс</w:t>
      </w:r>
      <w:r>
        <w:t>.</w:t>
      </w:r>
    </w:p>
    <w:p w:rsidR="00BD42F5" w:rsidRDefault="00BD42F5" w:rsidP="00BD42F5">
      <w:pPr>
        <w:pStyle w:val="Zv-bodyreport"/>
        <w:spacing w:before="720"/>
      </w:pPr>
      <w:r w:rsidRPr="00174A78">
        <w:t>Работая на смесях инертных газов, нельзя было обойти вниманием эксперименты с «</w:t>
      </w:r>
      <w:r>
        <w:t>п</w:t>
      </w:r>
      <w:r w:rsidRPr="00174A78">
        <w:t xml:space="preserve">еннинговскими парами» – в нашем случае смеси неона с аргоном или криптоном, в которых потенциал возбуждения неона в метастабильное состояние около 16.7 эВ, что превышает потенциалы ионизации аргона (15.7 эВ) и криптона (14 эВ). Естественное, «по Пеннингу», поведение кривой зажигания </w:t>
      </w:r>
      <w:r w:rsidRPr="00174A78">
        <w:rPr>
          <w:i/>
          <w:lang w:val="en-US"/>
        </w:rPr>
        <w:t>B</w:t>
      </w:r>
      <w:r w:rsidRPr="00174A78">
        <w:rPr>
          <w:i/>
          <w:vertAlign w:val="subscript"/>
          <w:lang w:val="en-US"/>
        </w:rPr>
        <w:t>ig</w:t>
      </w:r>
      <w:r w:rsidRPr="00174A78">
        <w:rPr>
          <w:vertAlign w:val="subscript"/>
        </w:rPr>
        <w:t>(</w:t>
      </w:r>
      <w:r w:rsidRPr="00174A78">
        <w:rPr>
          <w:i/>
          <w:vertAlign w:val="subscript"/>
          <w:lang w:val="en-US"/>
        </w:rPr>
        <w:t>rK</w:t>
      </w:r>
      <w:r w:rsidRPr="00174A78">
        <w:rPr>
          <w:vertAlign w:val="subscript"/>
        </w:rPr>
        <w:t>)</w:t>
      </w:r>
      <w:r w:rsidRPr="00174A78">
        <w:t xml:space="preserve"> = </w:t>
      </w:r>
      <w:r w:rsidRPr="00174A78">
        <w:rPr>
          <w:i/>
          <w:lang w:val="en-US"/>
        </w:rPr>
        <w:t>f</w:t>
      </w:r>
      <w:r w:rsidRPr="00174A78">
        <w:t>(</w:t>
      </w:r>
      <w:r w:rsidRPr="00174A78">
        <w:rPr>
          <w:i/>
          <w:lang w:val="en-US"/>
        </w:rPr>
        <w:t>q</w:t>
      </w:r>
      <w:r w:rsidRPr="00174A78">
        <w:t xml:space="preserve">) – уменьшение необходимого для зажигания разряда энерговклада со стороны электромагнитного поля – наблюдалось при добавке к неону аргона или криптона как примеси. Однако, если неон был добавкой к аргону или криптону, индукция зажигания возрастала до </w:t>
      </w:r>
      <w:r w:rsidRPr="00174A78">
        <w:rPr>
          <w:i/>
          <w:iCs/>
          <w:lang w:val="en-US"/>
        </w:rPr>
        <w:t>q</w:t>
      </w:r>
      <w:r w:rsidRPr="00174A78">
        <w:rPr>
          <w:vertAlign w:val="subscript"/>
          <w:lang w:val="en-US"/>
        </w:rPr>
        <w:t>Ne</w:t>
      </w:r>
      <w:r w:rsidRPr="00174A78">
        <w:t xml:space="preserve"> </w:t>
      </w:r>
      <w:r w:rsidRPr="00174A78">
        <w:sym w:font="Symbol" w:char="F0BB"/>
      </w:r>
      <w:r w:rsidRPr="00174A78">
        <w:t xml:space="preserve"> 30 см</w:t>
      </w:r>
      <w:r w:rsidRPr="00174A78">
        <w:rPr>
          <w:vertAlign w:val="superscript"/>
        </w:rPr>
        <w:t>3</w:t>
      </w:r>
      <w:r w:rsidRPr="00174A78">
        <w:t xml:space="preserve">/мин и далее монотонно спадала, не достигая при </w:t>
      </w:r>
      <w:r w:rsidRPr="00174A78">
        <w:rPr>
          <w:i/>
          <w:iCs/>
          <w:lang w:val="en-US"/>
        </w:rPr>
        <w:t>q</w:t>
      </w:r>
      <w:r w:rsidRPr="00174A78">
        <w:rPr>
          <w:vertAlign w:val="subscript"/>
          <w:lang w:val="en-US"/>
        </w:rPr>
        <w:t>Ne</w:t>
      </w:r>
      <w:r w:rsidRPr="00174A78">
        <w:t xml:space="preserve"> </w:t>
      </w:r>
      <w:r>
        <w:sym w:font="Symbol" w:char="F0A3"/>
      </w:r>
      <w:r>
        <w:t xml:space="preserve"> 90 </w:t>
      </w:r>
      <w:r w:rsidRPr="00174A78">
        <w:t>см</w:t>
      </w:r>
      <w:r w:rsidRPr="00174A78">
        <w:rPr>
          <w:vertAlign w:val="superscript"/>
        </w:rPr>
        <w:t>3</w:t>
      </w:r>
      <w:r w:rsidRPr="00174A78">
        <w:t>/мин стартового значения; эффект Пеннинга (в явном виде) здесь не работа</w:t>
      </w:r>
      <w:r>
        <w:t>л</w:t>
      </w:r>
      <w:r w:rsidRPr="00174A78">
        <w:t xml:space="preserve">. </w:t>
      </w:r>
      <w:r>
        <w:t xml:space="preserve">Различие в поведении пеннинговских пар при изменении их роли в паре – основной газ или </w:t>
      </w:r>
      <w:r w:rsidRPr="00B35061">
        <w:t>примесь – объясняется нами различной степенью влияния разряда на распределение потенциала в прикатодной области.</w:t>
      </w:r>
      <w:r>
        <w:t xml:space="preserve"> </w:t>
      </w:r>
    </w:p>
    <w:sectPr w:rsidR="00BD42F5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F33" w:rsidRDefault="007B1F33">
      <w:r>
        <w:separator/>
      </w:r>
    </w:p>
  </w:endnote>
  <w:endnote w:type="continuationSeparator" w:id="0">
    <w:p w:rsidR="007B1F33" w:rsidRDefault="007B1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23A4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BD42F5" w:rsidRDefault="00323A40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24F5">
      <w:rPr>
        <w:rStyle w:val="a5"/>
        <w:noProof/>
      </w:rPr>
      <w:t>1</w:t>
    </w:r>
    <w:r>
      <w:rPr>
        <w:rStyle w:val="a5"/>
      </w:rPr>
      <w:fldChar w:fldCharType="end"/>
    </w:r>
    <w:r w:rsidR="00BD42F5">
      <w:rPr>
        <w:rStyle w:val="a5"/>
        <w:lang w:val="en-US"/>
      </w:rPr>
      <w:t>85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F33" w:rsidRDefault="007B1F33">
      <w:r>
        <w:separator/>
      </w:r>
    </w:p>
  </w:footnote>
  <w:footnote w:type="continuationSeparator" w:id="0">
    <w:p w:rsidR="007B1F33" w:rsidRDefault="007B1F33">
      <w:r>
        <w:continuationSeparator/>
      </w:r>
    </w:p>
  </w:footnote>
  <w:footnote w:id="1">
    <w:p w:rsidR="00FA24F5" w:rsidRPr="00FA24F5" w:rsidRDefault="00FA24F5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FA24F5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BD42F5">
      <w:rPr>
        <w:sz w:val="20"/>
      </w:rPr>
      <w:t>20</w:t>
    </w:r>
    <w:r w:rsidR="00C62CFE">
      <w:rPr>
        <w:sz w:val="20"/>
      </w:rPr>
      <w:t xml:space="preserve"> – </w:t>
    </w:r>
    <w:r w:rsidR="00700C3A" w:rsidRPr="00BD42F5">
      <w:rPr>
        <w:sz w:val="20"/>
      </w:rPr>
      <w:t>2</w:t>
    </w:r>
    <w:r w:rsidR="00577A8A" w:rsidRPr="00BD42F5">
      <w:rPr>
        <w:sz w:val="20"/>
      </w:rPr>
      <w:t>4</w:t>
    </w:r>
    <w:r w:rsidR="00C62CFE">
      <w:rPr>
        <w:sz w:val="20"/>
      </w:rPr>
      <w:t xml:space="preserve"> марта 20</w:t>
    </w:r>
    <w:r w:rsidR="00C62CFE" w:rsidRPr="00BD42F5">
      <w:rPr>
        <w:sz w:val="20"/>
      </w:rPr>
      <w:t>2</w:t>
    </w:r>
    <w:r w:rsidR="00700C3A" w:rsidRPr="00BD42F5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323A4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327"/>
    <w:rsid w:val="00037DCC"/>
    <w:rsid w:val="00043701"/>
    <w:rsid w:val="000C7078"/>
    <w:rsid w:val="000D76E9"/>
    <w:rsid w:val="000E495B"/>
    <w:rsid w:val="00140645"/>
    <w:rsid w:val="00171964"/>
    <w:rsid w:val="001743FC"/>
    <w:rsid w:val="001C0CCB"/>
    <w:rsid w:val="00200AB2"/>
    <w:rsid w:val="00220629"/>
    <w:rsid w:val="00247225"/>
    <w:rsid w:val="002A6CD1"/>
    <w:rsid w:val="002D3EBD"/>
    <w:rsid w:val="00302D1D"/>
    <w:rsid w:val="00323A40"/>
    <w:rsid w:val="00352DB2"/>
    <w:rsid w:val="00370072"/>
    <w:rsid w:val="003800F3"/>
    <w:rsid w:val="003B5B93"/>
    <w:rsid w:val="003C1B47"/>
    <w:rsid w:val="00401388"/>
    <w:rsid w:val="00437327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1F33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BD42F5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24F5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2F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BD42F5"/>
    <w:rPr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BD42F5"/>
    <w:rPr>
      <w:sz w:val="24"/>
      <w:szCs w:val="24"/>
    </w:rPr>
  </w:style>
  <w:style w:type="paragraph" w:styleId="a8">
    <w:name w:val="footnote text"/>
    <w:basedOn w:val="a"/>
    <w:link w:val="a9"/>
    <w:rsid w:val="00FA24F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A24F5"/>
  </w:style>
  <w:style w:type="character" w:styleId="aa">
    <w:name w:val="footnote reference"/>
    <w:basedOn w:val="a0"/>
    <w:rsid w:val="00FA24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kin85@inbo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rseniy.rigin@mail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U-Stro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776EB-1C65-4E9A-9CCA-079205B5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408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НЕОЖИДАННЫЕ ОСОБЕННОСТИ ЗАЖИГАНИЯ САМОСТОЯТЕЛЬНОГО РАЗРЯДА В СКРЕЩЕННЫХ ЭЛЕКТРИЧЕСКОМ И МАГНИТНОМ ПОЛЯХ</dc:title>
  <dc:creator/>
  <cp:lastModifiedBy>Сатунин</cp:lastModifiedBy>
  <cp:revision>3</cp:revision>
  <cp:lastPrinted>1601-01-01T00:00:00Z</cp:lastPrinted>
  <dcterms:created xsi:type="dcterms:W3CDTF">2023-02-20T15:11:00Z</dcterms:created>
  <dcterms:modified xsi:type="dcterms:W3CDTF">2023-05-17T14:20:00Z</dcterms:modified>
</cp:coreProperties>
</file>