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5B" w:rsidRPr="00590916" w:rsidRDefault="000F375B" w:rsidP="000F375B">
      <w:pPr>
        <w:pStyle w:val="Zv-Titlereport"/>
        <w:rPr>
          <w:i/>
        </w:rPr>
      </w:pPr>
      <w:r>
        <w:t xml:space="preserve">Закономерности в зависимости потенциалов ионизации многозарядных ионов от числа электронов </w:t>
      </w:r>
      <w:r w:rsidRPr="00677419">
        <w:rPr>
          <w:i/>
          <w:lang w:val="en-US"/>
        </w:rPr>
        <w:t>N</w:t>
      </w:r>
      <w:r w:rsidRPr="00677419">
        <w:t xml:space="preserve"> </w:t>
      </w:r>
      <w:r>
        <w:t>и атомного номера элементов</w:t>
      </w:r>
      <w:r w:rsidRPr="00677419">
        <w:t xml:space="preserve"> </w:t>
      </w:r>
      <w:r w:rsidRPr="00677419">
        <w:rPr>
          <w:i/>
          <w:lang w:val="en-US"/>
        </w:rPr>
        <w:t>Z</w:t>
      </w:r>
      <w:r w:rsidR="00590916">
        <w:rPr>
          <w:i/>
        </w:rPr>
        <w:t xml:space="preserve"> </w:t>
      </w:r>
      <w:r w:rsidR="00590916" w:rsidRPr="00590916">
        <w:rPr>
          <w:rStyle w:val="ab"/>
        </w:rPr>
        <w:footnoteReference w:customMarkFollows="1" w:id="1"/>
        <w:t>*)</w:t>
      </w:r>
    </w:p>
    <w:p w:rsidR="000F375B" w:rsidRDefault="000F375B" w:rsidP="000F375B">
      <w:pPr>
        <w:pStyle w:val="Zv-Author"/>
        <w:rPr>
          <w:u w:val="single"/>
        </w:rPr>
      </w:pPr>
      <w:r w:rsidRPr="00677419">
        <w:rPr>
          <w:u w:val="single"/>
        </w:rPr>
        <w:t>Шпатаковская Г.В.</w:t>
      </w:r>
    </w:p>
    <w:p w:rsidR="000F375B" w:rsidRDefault="000F375B" w:rsidP="000F375B">
      <w:pPr>
        <w:pStyle w:val="Zv-Organization"/>
      </w:pPr>
      <w:r>
        <w:t xml:space="preserve">ИПМ им. М.В.Келдыша РАН, г. Москва, Россия, </w:t>
      </w:r>
      <w:hyperlink r:id="rId8" w:history="1">
        <w:r w:rsidR="00590916" w:rsidRPr="00E90208">
          <w:rPr>
            <w:rStyle w:val="a7"/>
            <w:lang w:val="en-US"/>
          </w:rPr>
          <w:t>shpagalya</w:t>
        </w:r>
        <w:r w:rsidR="00590916" w:rsidRPr="00E90208">
          <w:rPr>
            <w:rStyle w:val="a7"/>
          </w:rPr>
          <w:t>@</w:t>
        </w:r>
        <w:r w:rsidR="00590916" w:rsidRPr="00E90208">
          <w:rPr>
            <w:rStyle w:val="a7"/>
            <w:lang w:val="en-US"/>
          </w:rPr>
          <w:t>yandex</w:t>
        </w:r>
        <w:r w:rsidR="00590916" w:rsidRPr="00E90208">
          <w:rPr>
            <w:rStyle w:val="a7"/>
          </w:rPr>
          <w:t>.</w:t>
        </w:r>
        <w:r w:rsidR="00590916" w:rsidRPr="00E90208">
          <w:rPr>
            <w:rStyle w:val="a7"/>
            <w:lang w:val="en-US"/>
          </w:rPr>
          <w:t>ru</w:t>
        </w:r>
      </w:hyperlink>
    </w:p>
    <w:p w:rsidR="000F375B" w:rsidRPr="00061213" w:rsidRDefault="000F375B" w:rsidP="000F375B">
      <w:pPr>
        <w:pStyle w:val="Zv-bodyreport"/>
      </w:pPr>
      <w:r w:rsidRPr="00061213">
        <w:t xml:space="preserve">Проведен анализ экспериментальных и расчетных потенциалов ионизации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I</m:t>
            </m:r>
          </m:e>
          <m:sub>
            <m:r>
              <w:rPr>
                <w:rFonts w:ascii="Cambria Math" w:hAnsi="Cambria Math"/>
              </w:rPr>
              <m:t>N</m:t>
            </m:r>
          </m:sub>
          <m:sup>
            <m:r>
              <w:rPr>
                <w:rFonts w:ascii="Cambria Math" w:hAnsi="Cambria Math"/>
              </w:rPr>
              <m:t>(Z)</m:t>
            </m:r>
          </m:sup>
        </m:sSubSup>
      </m:oMath>
      <w:r w:rsidRPr="004E7B96">
        <w:t>(эв)</w:t>
      </w:r>
      <w:r>
        <w:t xml:space="preserve"> в </w:t>
      </w:r>
      <w:r w:rsidRPr="00061213">
        <w:t>основном состоянии многозарядных ионов средних и тяжелых элементов от аргона (</w:t>
      </w:r>
      <w:r w:rsidRPr="00061213">
        <w:rPr>
          <w:i/>
          <w:lang w:val="en-US"/>
        </w:rPr>
        <w:t>Z</w:t>
      </w:r>
      <w:r w:rsidRPr="00061213">
        <w:t xml:space="preserve"> = 18) до америция (</w:t>
      </w:r>
      <w:r w:rsidRPr="00061213">
        <w:rPr>
          <w:lang w:val="en-US"/>
        </w:rPr>
        <w:t>Z</w:t>
      </w:r>
      <w:r w:rsidRPr="00061213">
        <w:t xml:space="preserve"> = 95), представленных в таблицах </w:t>
      </w:r>
      <w:r w:rsidRPr="00061213">
        <w:rPr>
          <w:lang w:val="en-US"/>
        </w:rPr>
        <w:t>NIST</w:t>
      </w:r>
      <w:r w:rsidRPr="00061213">
        <w:t xml:space="preserve"> [1]. Эти данные, рассмотренные в специальных координатах, указывают на закономерности в зависимости от атомного номера элемента </w:t>
      </w:r>
      <w:r w:rsidRPr="00061213">
        <w:rPr>
          <w:i/>
          <w:lang w:val="en-US"/>
        </w:rPr>
        <w:t>Z</w:t>
      </w:r>
      <w:r w:rsidRPr="00061213">
        <w:t xml:space="preserve"> и числа электронов в ионе </w:t>
      </w:r>
      <w:r w:rsidRPr="00061213">
        <w:rPr>
          <w:i/>
          <w:lang w:val="en-US"/>
        </w:rPr>
        <w:t>N</w:t>
      </w:r>
      <w:r w:rsidRPr="00061213">
        <w:t xml:space="preserve">. </w:t>
      </w:r>
      <w:r>
        <w:t>Обнаруженные</w:t>
      </w:r>
      <w:r w:rsidRPr="00061213">
        <w:t xml:space="preserve"> закономерности позволяют аппроксимировать большое количество табличных значений простыми полиномами вида:</w:t>
      </w:r>
    </w:p>
    <w:p w:rsidR="000F375B" w:rsidRPr="00396379" w:rsidRDefault="00AC14BB" w:rsidP="000F375B">
      <w:pPr>
        <w:jc w:val="center"/>
        <w:rPr>
          <w:i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  <w:lang w:val="en-US"/>
                </w:rPr>
                <m:t>(</m:t>
              </m:r>
              <m:r>
                <w:rPr>
                  <w:rFonts w:ascii="Cambria Math" w:hAnsi="Cambria Math"/>
                </w:rPr>
                <m:t>Z</m:t>
              </m:r>
              <m:r>
                <w:rPr>
                  <w:rFonts w:ascii="Cambria Math" w:hAnsi="Cambria Math"/>
                  <w:lang w:val="en-US"/>
                </w:rPr>
                <m:t>)</m:t>
              </m:r>
            </m:sup>
          </m:sSubSup>
          <m:r>
            <w:rPr>
              <w:rFonts w:ascii="Cambria Math" w:hAnsi="Cambria Math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4/3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10</m:t>
              </m:r>
            </m:e>
            <m:sup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lg</m:t>
                  </m:r>
                </m:fNam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</w:rPr>
                    <m:t>σ</m:t>
                  </m:r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e>
              </m:func>
            </m:sup>
          </m:s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r>
            <w:rPr>
              <w:rFonts w:ascii="Cambria Math" w:hAnsi="Cambria Math"/>
              <w:lang w:val="en-US"/>
            </w:rPr>
            <m:t xml:space="preserve">,   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lg</m:t>
              </m:r>
            </m:fName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</m:d>
              <m:r>
                <w:rPr>
                  <w:rFonts w:ascii="Cambria Math" w:hAnsi="Cambria Math"/>
                </w:rPr>
                <m:t xml:space="preserve">= 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i=0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max</m:t>
                      </m:r>
                    </m:sub>
                  </m:sSub>
                </m:sup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Theme="minorHAnsi" w:hAnsi="Cambria Math"/>
                          <w:i/>
                          <w:lang w:eastAsia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k=0</m:t>
                      </m:r>
                    </m:sub>
                    <m: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max</m:t>
                          </m:r>
                        </m:sub>
                      </m:sSub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ik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p>
                      </m:sSup>
                    </m:e>
                  </m:nary>
                </m:e>
              </m:nary>
            </m:e>
          </m:func>
          <m:r>
            <w:rPr>
              <w:rFonts w:ascii="Cambria Math" w:hAnsi="Cambria Math"/>
              <w:lang w:val="en-US"/>
            </w:rPr>
            <m:t xml:space="preserve">,    </m:t>
          </m:r>
          <m:r>
            <w:rPr>
              <w:rFonts w:ascii="Cambria Math" w:hAnsi="Cambria Math"/>
            </w:rPr>
            <m:t>σ</m:t>
          </m:r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/>
            </w:rPr>
            <m:t>π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  <w:lang w:val="en-US"/>
                </w:rPr>
                <m:t>-1/3</m:t>
              </m:r>
            </m:sup>
          </m:sSup>
          <m:r>
            <w:rPr>
              <w:rFonts w:ascii="Cambria Math" w:hAnsi="Cambria Math"/>
            </w:rPr>
            <m:t xml:space="preserve">,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E</m:t>
              </m:r>
            </m:e>
            <m:sub>
              <m:r>
                <w:rPr>
                  <w:rFonts w:ascii="Cambria Math" w:hAnsi="Cambria Math"/>
                </w:rPr>
                <m:t>H</m:t>
              </m:r>
            </m:sub>
          </m:sSub>
          <m:r>
            <w:rPr>
              <w:rFonts w:ascii="Cambria Math" w:hAnsi="Cambria Math"/>
            </w:rPr>
            <m:t>=27.211 eV.</m:t>
          </m:r>
        </m:oMath>
      </m:oMathPara>
    </w:p>
    <w:p w:rsidR="000F375B" w:rsidRDefault="000F375B" w:rsidP="000F375B">
      <w:pPr>
        <w:pStyle w:val="Zv-bodyreport"/>
      </w:pPr>
      <w:r w:rsidRPr="00061213">
        <w:t>При этом оптимальным оказывается разбиение на группу средних элементов</w:t>
      </w:r>
      <w:r w:rsidRPr="000658A4">
        <w:t>,</w:t>
      </w:r>
      <w:r w:rsidRPr="00061213">
        <w:t xml:space="preserve"> от аргона до ксенона (18 ≤ </w:t>
      </w:r>
      <w:r w:rsidRPr="00061213">
        <w:rPr>
          <w:i/>
          <w:lang w:val="en-US"/>
        </w:rPr>
        <w:t>Z</w:t>
      </w:r>
      <w:r w:rsidRPr="00061213">
        <w:rPr>
          <w:i/>
        </w:rPr>
        <w:t xml:space="preserve"> </w:t>
      </w:r>
      <w:r w:rsidRPr="00061213">
        <w:t>≤</w:t>
      </w:r>
      <w:r w:rsidRPr="00061213">
        <w:rPr>
          <w:i/>
        </w:rPr>
        <w:t xml:space="preserve"> </w:t>
      </w:r>
      <w:r w:rsidRPr="00061213">
        <w:t xml:space="preserve">54) с числом электронов в диапазоне </w:t>
      </w:r>
      <w:r w:rsidRPr="00061213">
        <w:rPr>
          <w:i/>
          <w:lang w:val="en-US"/>
        </w:rPr>
        <w:t>N</w:t>
      </w:r>
      <w:r w:rsidRPr="00061213">
        <w:rPr>
          <w:i/>
        </w:rPr>
        <w:t xml:space="preserve"> </w:t>
      </w:r>
      <w:r w:rsidRPr="00061213">
        <w:t xml:space="preserve">≤ </w:t>
      </w:r>
      <w:r w:rsidRPr="00061213">
        <w:rPr>
          <w:i/>
          <w:lang w:val="en-US"/>
        </w:rPr>
        <w:t>Z</w:t>
      </w:r>
      <w:r w:rsidRPr="00061213">
        <w:rPr>
          <w:i/>
        </w:rPr>
        <w:t xml:space="preserve"> </w:t>
      </w:r>
      <m:oMath>
        <m:r>
          <w:rPr>
            <w:rFonts w:ascii="Cambria Math" w:hAnsi="Cambria Math"/>
          </w:rPr>
          <m:t>-</m:t>
        </m:r>
      </m:oMath>
      <w:r w:rsidRPr="00061213">
        <w:t xml:space="preserve"> 5 [2]</w:t>
      </w:r>
      <w:r w:rsidRPr="000658A4">
        <w:t>,</w:t>
      </w:r>
      <w:r w:rsidRPr="00061213">
        <w:t xml:space="preserve"> и группу тяжелых</w:t>
      </w:r>
      <w:r w:rsidRPr="00DE5669">
        <w:t xml:space="preserve">, </w:t>
      </w:r>
      <w:r w:rsidRPr="00061213">
        <w:t xml:space="preserve">от цезия до америция (55 ≤ </w:t>
      </w:r>
      <w:r w:rsidRPr="00061213">
        <w:rPr>
          <w:i/>
          <w:lang w:val="en-US"/>
        </w:rPr>
        <w:t>Z</w:t>
      </w:r>
      <w:r w:rsidRPr="00061213">
        <w:rPr>
          <w:i/>
        </w:rPr>
        <w:t xml:space="preserve"> </w:t>
      </w:r>
      <w:r w:rsidRPr="00061213">
        <w:t>≤</w:t>
      </w:r>
      <w:r w:rsidRPr="00061213">
        <w:rPr>
          <w:i/>
        </w:rPr>
        <w:t xml:space="preserve"> </w:t>
      </w:r>
      <w:r w:rsidRPr="00061213">
        <w:t xml:space="preserve">95) с числом электронов 1 ≤ </w:t>
      </w:r>
      <w:r w:rsidRPr="00061213">
        <w:rPr>
          <w:i/>
          <w:lang w:val="en-US"/>
        </w:rPr>
        <w:t>N</w:t>
      </w:r>
      <w:r w:rsidRPr="00061213">
        <w:rPr>
          <w:i/>
        </w:rPr>
        <w:t xml:space="preserve"> </w:t>
      </w:r>
      <w:r w:rsidRPr="00061213">
        <w:t>≤</w:t>
      </w:r>
      <w:r w:rsidRPr="00061213">
        <w:rPr>
          <w:i/>
        </w:rPr>
        <w:t xml:space="preserve"> </w:t>
      </w:r>
      <w:r w:rsidRPr="00061213">
        <w:t xml:space="preserve">46 [3]. В этом случае степень аппроксимирующих полиномов не превышает трех, и небольшие таблицы полиномиальных коэффициентов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/>
              </w:rPr>
              <m:t>b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ik</m:t>
            </m:r>
          </m:sub>
        </m:sSub>
      </m:oMath>
      <w:r w:rsidRPr="00DE5669">
        <w:rPr>
          <w:color w:val="000000"/>
        </w:rPr>
        <w:t xml:space="preserve"> </w:t>
      </w:r>
      <w:r w:rsidRPr="00061213">
        <w:t xml:space="preserve">позволяют с точностью порядка 1 процента и выше оценивать потенциалы </w:t>
      </w:r>
      <w:bookmarkStart w:id="0" w:name="_GoBack"/>
      <w:r w:rsidRPr="00061213">
        <w:t xml:space="preserve">ионизации в общей сложности около трех тысяч ионов из рассмотренных областей. На </w:t>
      </w:r>
      <w:bookmarkEnd w:id="0"/>
      <w:r w:rsidRPr="00061213">
        <w:t xml:space="preserve">рисунках представлены характерные зависимости потенциалов ионизации группы средних элементов из </w:t>
      </w:r>
      <w:r w:rsidRPr="00061213">
        <w:rPr>
          <w:i/>
          <w:lang w:val="en-US"/>
        </w:rPr>
        <w:t>K</w:t>
      </w:r>
      <w:r w:rsidRPr="00061213">
        <w:t xml:space="preserve"> и </w:t>
      </w:r>
      <w:r w:rsidRPr="00061213">
        <w:rPr>
          <w:i/>
          <w:lang w:val="en-US"/>
        </w:rPr>
        <w:t>L</w:t>
      </w:r>
      <w:r w:rsidRPr="00061213">
        <w:t xml:space="preserve"> оболочек (рис.1) и тяжелых элементов из </w:t>
      </w:r>
      <w:r w:rsidRPr="00061213">
        <w:rPr>
          <w:i/>
          <w:lang w:val="en-US"/>
        </w:rPr>
        <w:t>M</w:t>
      </w:r>
      <w:r w:rsidRPr="00061213">
        <w:t xml:space="preserve"> оболочки (рис.2)</w:t>
      </w:r>
      <w:r w:rsidRPr="00D1441A">
        <w:t>.</w:t>
      </w:r>
    </w:p>
    <w:p w:rsidR="000F375B" w:rsidRDefault="000F375B" w:rsidP="000F375B">
      <w:pPr>
        <w:pStyle w:val="Zv-bodyreport"/>
      </w:pP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7"/>
        <w:gridCol w:w="4657"/>
      </w:tblGrid>
      <w:tr w:rsidR="000F375B" w:rsidTr="006F0309">
        <w:trPr>
          <w:jc w:val="center"/>
        </w:trPr>
        <w:tc>
          <w:tcPr>
            <w:tcW w:w="0" w:type="auto"/>
          </w:tcPr>
          <w:p w:rsidR="000F375B" w:rsidRDefault="000F375B" w:rsidP="006F0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892990" cy="2567702"/>
                  <wp:effectExtent l="0" t="0" r="317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1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834" cy="259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0F375B" w:rsidRDefault="000F375B" w:rsidP="006F030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815359" cy="2504481"/>
                  <wp:effectExtent l="0" t="0" r="444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3sp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705" cy="251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375B" w:rsidTr="006F0309">
        <w:trPr>
          <w:jc w:val="center"/>
        </w:trPr>
        <w:tc>
          <w:tcPr>
            <w:tcW w:w="0" w:type="auto"/>
          </w:tcPr>
          <w:p w:rsidR="000F375B" w:rsidRDefault="000F375B" w:rsidP="006F0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Рис.1</w:t>
            </w:r>
          </w:p>
        </w:tc>
        <w:tc>
          <w:tcPr>
            <w:tcW w:w="0" w:type="auto"/>
          </w:tcPr>
          <w:p w:rsidR="000F375B" w:rsidRDefault="000F375B" w:rsidP="006F03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Рис.2</w:t>
            </w:r>
          </w:p>
        </w:tc>
      </w:tr>
    </w:tbl>
    <w:p w:rsidR="000F375B" w:rsidRDefault="000F375B" w:rsidP="000F375B">
      <w:pPr>
        <w:jc w:val="both"/>
      </w:pPr>
    </w:p>
    <w:p w:rsidR="000F375B" w:rsidRDefault="000F375B" w:rsidP="000F375B">
      <w:pPr>
        <w:pStyle w:val="Zv-TitleReferences-ru"/>
      </w:pPr>
      <w:r w:rsidRPr="001C75A8">
        <w:t>Литература</w:t>
      </w:r>
    </w:p>
    <w:p w:rsidR="000F375B" w:rsidRDefault="000F375B" w:rsidP="000F375B">
      <w:pPr>
        <w:pStyle w:val="Zv-References-ru"/>
        <w:rPr>
          <w:lang w:val="en-US"/>
        </w:rPr>
      </w:pPr>
      <w:r w:rsidRPr="001C75A8">
        <w:rPr>
          <w:lang w:val="en-US"/>
        </w:rPr>
        <w:t>Kramida</w:t>
      </w:r>
      <w:r>
        <w:rPr>
          <w:lang w:val="en-US"/>
        </w:rPr>
        <w:t xml:space="preserve"> </w:t>
      </w:r>
      <w:r w:rsidRPr="001C75A8">
        <w:rPr>
          <w:lang w:val="en-US"/>
        </w:rPr>
        <w:t>A., Ralchenko</w:t>
      </w:r>
      <w:r>
        <w:rPr>
          <w:lang w:val="en-US"/>
        </w:rPr>
        <w:t xml:space="preserve"> </w:t>
      </w:r>
      <w:r w:rsidRPr="001C75A8">
        <w:rPr>
          <w:lang w:val="en-US"/>
        </w:rPr>
        <w:t>Yu., Reader</w:t>
      </w:r>
      <w:r>
        <w:rPr>
          <w:lang w:val="en-US"/>
        </w:rPr>
        <w:t xml:space="preserve"> </w:t>
      </w:r>
      <w:r w:rsidRPr="001C75A8">
        <w:rPr>
          <w:lang w:val="en-US"/>
        </w:rPr>
        <w:t>J. and NIST ASD Team (202</w:t>
      </w:r>
      <w:r>
        <w:rPr>
          <w:lang w:val="en-US"/>
        </w:rPr>
        <w:t>2</w:t>
      </w:r>
      <w:r w:rsidRPr="001C75A8">
        <w:rPr>
          <w:lang w:val="en-US"/>
        </w:rPr>
        <w:t>).</w:t>
      </w:r>
      <w:r>
        <w:rPr>
          <w:lang w:val="en-US"/>
        </w:rPr>
        <w:t xml:space="preserve"> </w:t>
      </w:r>
      <w:r w:rsidRPr="007C6E92">
        <w:rPr>
          <w:i/>
          <w:lang w:val="en-US"/>
        </w:rPr>
        <w:t>NIST Atomic Spectra Database</w:t>
      </w:r>
      <w:r w:rsidRPr="001C75A8">
        <w:rPr>
          <w:lang w:val="en-US"/>
        </w:rPr>
        <w:t xml:space="preserve"> (ver. 5.</w:t>
      </w:r>
      <w:r>
        <w:rPr>
          <w:lang w:val="en-US"/>
        </w:rPr>
        <w:t>10</w:t>
      </w:r>
      <w:r w:rsidRPr="001C75A8">
        <w:rPr>
          <w:lang w:val="en-US"/>
        </w:rPr>
        <w:t>).</w:t>
      </w:r>
      <w:r>
        <w:rPr>
          <w:lang w:val="en-US"/>
        </w:rPr>
        <w:t xml:space="preserve"> [Online] </w:t>
      </w:r>
      <w:r w:rsidRPr="001C75A8">
        <w:rPr>
          <w:lang w:val="en-US"/>
        </w:rPr>
        <w:t xml:space="preserve">Available: https://physics.nist.gov/asd [2022, </w:t>
      </w:r>
      <w:r>
        <w:rPr>
          <w:lang w:val="en-US"/>
        </w:rPr>
        <w:t>November</w:t>
      </w:r>
      <w:r w:rsidRPr="001C75A8">
        <w:rPr>
          <w:lang w:val="en-US"/>
        </w:rPr>
        <w:t xml:space="preserve"> </w:t>
      </w:r>
      <w:r>
        <w:rPr>
          <w:lang w:val="en-US"/>
        </w:rPr>
        <w:t>2</w:t>
      </w:r>
      <w:r w:rsidRPr="001C75A8">
        <w:rPr>
          <w:lang w:val="en-US"/>
        </w:rPr>
        <w:t>]</w:t>
      </w:r>
    </w:p>
    <w:p w:rsidR="000F375B" w:rsidRDefault="000F375B" w:rsidP="000F375B">
      <w:pPr>
        <w:pStyle w:val="Zv-References-ru"/>
      </w:pPr>
      <w:r>
        <w:t xml:space="preserve">Шпатаковская Г.В. ЖЭТФ, 2022, </w:t>
      </w:r>
      <w:r w:rsidRPr="007C6E92">
        <w:rPr>
          <w:b/>
        </w:rPr>
        <w:t>162</w:t>
      </w:r>
      <w:r>
        <w:t>, 205-214</w:t>
      </w:r>
    </w:p>
    <w:p w:rsidR="000F375B" w:rsidRPr="00B336FD" w:rsidRDefault="000F375B" w:rsidP="000F375B">
      <w:pPr>
        <w:pStyle w:val="Zv-References-ru"/>
      </w:pPr>
      <w:r>
        <w:t xml:space="preserve">Шпатаковская Г.В. Письма в ЖЭТФ, 2021, </w:t>
      </w:r>
      <w:r w:rsidRPr="007C6E92">
        <w:rPr>
          <w:b/>
        </w:rPr>
        <w:t>114</w:t>
      </w:r>
      <w:r>
        <w:t>, 798-801</w:t>
      </w:r>
    </w:p>
    <w:sectPr w:rsidR="000F375B" w:rsidRPr="00B336FD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B25" w:rsidRDefault="00B15B25">
      <w:r>
        <w:separator/>
      </w:r>
    </w:p>
  </w:endnote>
  <w:endnote w:type="continuationSeparator" w:id="0">
    <w:p w:rsidR="00B15B25" w:rsidRDefault="00B15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14B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873CA5" w:rsidRDefault="00AC14BB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3F1A">
      <w:rPr>
        <w:rStyle w:val="a5"/>
        <w:noProof/>
      </w:rPr>
      <w:t>1</w:t>
    </w:r>
    <w:r>
      <w:rPr>
        <w:rStyle w:val="a5"/>
      </w:rPr>
      <w:fldChar w:fldCharType="end"/>
    </w:r>
    <w:r w:rsidR="00873CA5">
      <w:rPr>
        <w:rStyle w:val="a5"/>
        <w:lang w:val="en-US"/>
      </w:rPr>
      <w:t>72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B25" w:rsidRDefault="00B15B25">
      <w:r>
        <w:separator/>
      </w:r>
    </w:p>
  </w:footnote>
  <w:footnote w:type="continuationSeparator" w:id="0">
    <w:p w:rsidR="00B15B25" w:rsidRDefault="00B15B25">
      <w:r>
        <w:continuationSeparator/>
      </w:r>
    </w:p>
  </w:footnote>
  <w:footnote w:id="1">
    <w:p w:rsidR="00590916" w:rsidRDefault="00590916">
      <w:pPr>
        <w:pStyle w:val="a9"/>
      </w:pPr>
      <w:r>
        <w:rPr>
          <w:rStyle w:val="ab"/>
        </w:rPr>
        <w:t>*)</w:t>
      </w:r>
      <w:r>
        <w:t xml:space="preserve"> </w:t>
      </w:r>
      <w:hyperlink r:id="rId1" w:history="1">
        <w:r w:rsidRPr="00590916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0F375B">
      <w:rPr>
        <w:sz w:val="20"/>
      </w:rPr>
      <w:t>20</w:t>
    </w:r>
    <w:r w:rsidR="00C62CFE">
      <w:rPr>
        <w:sz w:val="20"/>
      </w:rPr>
      <w:t xml:space="preserve"> – </w:t>
    </w:r>
    <w:r w:rsidR="00700C3A" w:rsidRPr="000F375B">
      <w:rPr>
        <w:sz w:val="20"/>
      </w:rPr>
      <w:t>2</w:t>
    </w:r>
    <w:r w:rsidR="00577A8A" w:rsidRPr="000F375B">
      <w:rPr>
        <w:sz w:val="20"/>
      </w:rPr>
      <w:t>4</w:t>
    </w:r>
    <w:r w:rsidR="00C62CFE">
      <w:rPr>
        <w:sz w:val="20"/>
      </w:rPr>
      <w:t xml:space="preserve"> марта 20</w:t>
    </w:r>
    <w:r w:rsidR="00C62CFE" w:rsidRPr="000F375B">
      <w:rPr>
        <w:sz w:val="20"/>
      </w:rPr>
      <w:t>2</w:t>
    </w:r>
    <w:r w:rsidR="00700C3A" w:rsidRPr="000F375B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AC14B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5E6B"/>
    <w:rsid w:val="00037DCC"/>
    <w:rsid w:val="00043701"/>
    <w:rsid w:val="000C7078"/>
    <w:rsid w:val="000D247D"/>
    <w:rsid w:val="000D76E9"/>
    <w:rsid w:val="000E495B"/>
    <w:rsid w:val="000F375B"/>
    <w:rsid w:val="001334F4"/>
    <w:rsid w:val="00140645"/>
    <w:rsid w:val="00171964"/>
    <w:rsid w:val="00185E6B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73F1A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90916"/>
    <w:rsid w:val="00617E8E"/>
    <w:rsid w:val="00627A37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73CA5"/>
    <w:rsid w:val="008E2894"/>
    <w:rsid w:val="009352E6"/>
    <w:rsid w:val="0094721E"/>
    <w:rsid w:val="009551FC"/>
    <w:rsid w:val="00A66876"/>
    <w:rsid w:val="00A71613"/>
    <w:rsid w:val="00AB3459"/>
    <w:rsid w:val="00AC14BB"/>
    <w:rsid w:val="00AD7670"/>
    <w:rsid w:val="00B15B25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75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0F375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0F375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rsid w:val="0059091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90916"/>
  </w:style>
  <w:style w:type="character" w:styleId="ab">
    <w:name w:val="footnote reference"/>
    <w:basedOn w:val="a0"/>
    <w:rsid w:val="0059091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pagalya@yandex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C-Shpatakovskay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C6D96-370C-49EF-B518-337C2D5AB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250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ЗАКОНОМЕРНОСТИ В ЗАВИСИМОСТИ ПОТЕНЦИАЛОВ ИОНИЗАЦИИ МНОГОЗАРЯДНЫХ ИОНОВ ОТ ЧИСЛА ЭЛЕКТРОНОВ N И АТОМНОГО НОМЕРА ЭЛЕМЕНТОВ Z</dc:title>
  <dc:creator/>
  <cp:lastModifiedBy>Сатунин</cp:lastModifiedBy>
  <cp:revision>5</cp:revision>
  <cp:lastPrinted>1601-01-01T00:00:00Z</cp:lastPrinted>
  <dcterms:created xsi:type="dcterms:W3CDTF">2023-01-31T11:41:00Z</dcterms:created>
  <dcterms:modified xsi:type="dcterms:W3CDTF">2023-05-24T13:44:00Z</dcterms:modified>
</cp:coreProperties>
</file>