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FD" w:rsidRDefault="004411EF" w:rsidP="009B6EFD">
      <w:pPr>
        <w:pStyle w:val="Zv-Titlereport"/>
        <w:contextualSpacing/>
        <w:rPr>
          <w:lang w:val="en-US"/>
        </w:rPr>
      </w:pPr>
      <w:r w:rsidRPr="004411E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5168;mso-position-horizontal:absolute" stroked="f" strokecolor="red">
            <v:textbox style="mso-next-textbox:#_x0000_s1026">
              <w:txbxContent>
                <w:p w:rsidR="004411EF" w:rsidRPr="00824DF5" w:rsidRDefault="004411E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4411EF">
                    <w:rPr>
                      <w:sz w:val="22"/>
                      <w:szCs w:val="22"/>
                    </w:rPr>
                    <w:t>10.34854/ICPAF.2023.50.2023.1.1.135</w:t>
                  </w:r>
                </w:p>
              </w:txbxContent>
            </v:textbox>
            <w10:anchorlock/>
          </v:shape>
        </w:pict>
      </w:r>
      <w:r w:rsidR="009B6EFD" w:rsidRPr="00D6733E">
        <w:rPr>
          <w:lang w:val="en-US"/>
        </w:rPr>
        <w:t>UNEXPECTED FEATURES OF SELF-DISCHARGE IGNITION IN CROSSED</w:t>
      </w:r>
      <w:r w:rsidR="009B6EFD" w:rsidRPr="00396BE3">
        <w:rPr>
          <w:lang w:val="en-US"/>
        </w:rPr>
        <w:t xml:space="preserve"> </w:t>
      </w:r>
      <w:r w:rsidR="009B6EFD" w:rsidRPr="00D6733E">
        <w:rPr>
          <w:lang w:val="en-US"/>
        </w:rPr>
        <w:t>ELECTRIC AND MAGNETIC FIELDS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9B6EFD" w:rsidRPr="006E3F5F" w:rsidRDefault="009B6EFD" w:rsidP="009B6EFD">
      <w:pPr>
        <w:pStyle w:val="Zv-Author"/>
        <w:rPr>
          <w:lang w:val="en-US"/>
        </w:rPr>
      </w:pPr>
      <w:r>
        <w:rPr>
          <w:u w:val="single"/>
          <w:lang w:val="en-US"/>
        </w:rPr>
        <w:t>Strokin N.A.</w:t>
      </w:r>
      <w:r>
        <w:rPr>
          <w:lang w:val="en-US"/>
        </w:rPr>
        <w:t xml:space="preserve">, </w:t>
      </w:r>
      <w:r w:rsidRPr="009B6EFD">
        <w:rPr>
          <w:lang w:val="en-US"/>
        </w:rPr>
        <w:t>Rigin</w:t>
      </w:r>
      <w:r>
        <w:rPr>
          <w:lang w:val="en-US"/>
        </w:rPr>
        <w:t xml:space="preserve"> A.V.</w:t>
      </w:r>
    </w:p>
    <w:p w:rsidR="009B6EFD" w:rsidRPr="009B6EFD" w:rsidRDefault="009B6EFD" w:rsidP="009B6EFD">
      <w:pPr>
        <w:pStyle w:val="Zv-Organization"/>
        <w:rPr>
          <w:iCs/>
          <w:lang w:val="en-US"/>
        </w:rPr>
      </w:pPr>
      <w:r w:rsidRPr="009B6EFD">
        <w:rPr>
          <w:lang w:val="en-US"/>
        </w:rPr>
        <w:t xml:space="preserve">Irkutsk National Research Technical University </w:t>
      </w:r>
      <w:hyperlink r:id="rId8" w:history="1">
        <w:r w:rsidRPr="00841635">
          <w:rPr>
            <w:rStyle w:val="a7"/>
            <w:lang w:val="en-US"/>
          </w:rPr>
          <w:t>strokin85@inbox.ru</w:t>
        </w:r>
      </w:hyperlink>
      <w:r w:rsidRPr="009B6EFD">
        <w:rPr>
          <w:rStyle w:val="a7"/>
          <w:color w:val="auto"/>
          <w:u w:val="none"/>
          <w:lang w:val="en-US"/>
        </w:rPr>
        <w:t xml:space="preserve">, </w:t>
      </w:r>
      <w:hyperlink r:id="rId9" w:history="1">
        <w:r w:rsidRPr="00841635">
          <w:rPr>
            <w:rStyle w:val="a7"/>
            <w:iCs/>
            <w:lang w:val="en-US"/>
          </w:rPr>
          <w:t>arseniy.rigin@mail.ru</w:t>
        </w:r>
      </w:hyperlink>
    </w:p>
    <w:p w:rsidR="009B6EFD" w:rsidRPr="00F4307F" w:rsidRDefault="009B6EFD" w:rsidP="009B6EFD">
      <w:pPr>
        <w:pStyle w:val="Zv-bodyreport"/>
        <w:rPr>
          <w:lang w:val="en-US"/>
        </w:rPr>
      </w:pPr>
      <w:r w:rsidRPr="000D5FEA">
        <w:rPr>
          <w:lang w:val="en-US"/>
        </w:rPr>
        <w:t>The understanding that the flow of ions leaving the self</w:t>
      </w:r>
      <w:r>
        <w:rPr>
          <w:lang w:val="en-US"/>
        </w:rPr>
        <w:t>-</w:t>
      </w:r>
      <w:r w:rsidRPr="000D5FEA">
        <w:rPr>
          <w:lang w:val="en-US"/>
        </w:rPr>
        <w:t>discharge zone in crossed electric and magnetic fields (</w:t>
      </w:r>
      <w:r w:rsidRPr="00F4307F">
        <w:rPr>
          <w:i/>
          <w:lang w:val="en-US"/>
        </w:rPr>
        <w:t>E</w:t>
      </w:r>
      <w:r>
        <w:rPr>
          <w:lang w:val="en-US"/>
        </w:rPr>
        <w:sym w:font="Symbol" w:char="F0B4"/>
      </w:r>
      <w:r w:rsidRPr="00F4307F">
        <w:rPr>
          <w:i/>
          <w:lang w:val="en-US"/>
        </w:rPr>
        <w:t>B</w:t>
      </w:r>
      <w:r>
        <w:rPr>
          <w:lang w:val="en-US"/>
        </w:rPr>
        <w:t xml:space="preserve"> </w:t>
      </w:r>
      <w:r w:rsidRPr="000D5FEA">
        <w:rPr>
          <w:lang w:val="en-US"/>
        </w:rPr>
        <w:t xml:space="preserve">discharge) can be an indicator of the ignition process </w:t>
      </w:r>
      <w:r>
        <w:rPr>
          <w:lang w:val="en-US"/>
        </w:rPr>
        <w:t>–</w:t>
      </w:r>
      <w:r w:rsidRPr="000D5FEA">
        <w:rPr>
          <w:lang w:val="en-US"/>
        </w:rPr>
        <w:t xml:space="preserve"> the appearance of electrons and plasma in the anode-cathode gap of an </w:t>
      </w:r>
      <w:r>
        <w:rPr>
          <w:lang w:val="en-US"/>
        </w:rPr>
        <w:t xml:space="preserve">thruster </w:t>
      </w:r>
      <w:r w:rsidRPr="000D5FEA">
        <w:rPr>
          <w:lang w:val="en-US"/>
        </w:rPr>
        <w:t>with an anode layer (</w:t>
      </w:r>
      <w:r>
        <w:rPr>
          <w:lang w:val="en-US"/>
        </w:rPr>
        <w:t>TAL</w:t>
      </w:r>
      <w:r w:rsidRPr="000D5FEA">
        <w:rPr>
          <w:lang w:val="en-US"/>
        </w:rPr>
        <w:t xml:space="preserve">), led to an experiment to measure the ignition voltage </w:t>
      </w:r>
      <w:r w:rsidRPr="00F4307F">
        <w:rPr>
          <w:i/>
          <w:lang w:val="en-US"/>
        </w:rPr>
        <w:t>U</w:t>
      </w:r>
      <w:r w:rsidRPr="00F4307F">
        <w:rPr>
          <w:i/>
          <w:vertAlign w:val="subscript"/>
          <w:lang w:val="en-US"/>
        </w:rPr>
        <w:t>ig</w:t>
      </w:r>
      <w:r w:rsidRPr="000D5FEA">
        <w:rPr>
          <w:lang w:val="en-US"/>
        </w:rPr>
        <w:t xml:space="preserve"> (anode-cathode</w:t>
      </w:r>
      <w:r w:rsidRPr="00F4307F">
        <w:rPr>
          <w:lang w:val="en-US"/>
        </w:rPr>
        <w:t xml:space="preserve"> </w:t>
      </w:r>
      <w:r>
        <w:rPr>
          <w:lang w:val="en-US"/>
        </w:rPr>
        <w:t>TAL</w:t>
      </w:r>
      <w:r w:rsidRPr="000D5FEA">
        <w:rPr>
          <w:lang w:val="en-US"/>
        </w:rPr>
        <w:t xml:space="preserve">) and </w:t>
      </w:r>
      <w:r>
        <w:rPr>
          <w:lang w:val="en-US"/>
        </w:rPr>
        <w:t xml:space="preserve">the radial component of the </w:t>
      </w:r>
      <w:r w:rsidRPr="000D5FEA">
        <w:rPr>
          <w:lang w:val="en-US"/>
        </w:rPr>
        <w:t xml:space="preserve">magnetic field induction </w:t>
      </w:r>
      <w:r>
        <w:rPr>
          <w:lang w:val="en-US"/>
        </w:rPr>
        <w:t>at</w:t>
      </w:r>
      <w:r w:rsidRPr="000D5FEA">
        <w:rPr>
          <w:lang w:val="en-US"/>
        </w:rPr>
        <w:t xml:space="preserve"> the </w:t>
      </w:r>
      <w:r>
        <w:rPr>
          <w:lang w:val="en-US"/>
        </w:rPr>
        <w:t>TAL</w:t>
      </w:r>
      <w:r w:rsidRPr="000D5FEA">
        <w:rPr>
          <w:lang w:val="en-US"/>
        </w:rPr>
        <w:t xml:space="preserve"> cathode </w:t>
      </w:r>
      <w:r w:rsidRPr="00F4307F">
        <w:rPr>
          <w:i/>
          <w:lang w:val="en-US"/>
        </w:rPr>
        <w:t>B</w:t>
      </w:r>
      <w:r w:rsidRPr="00F4307F">
        <w:rPr>
          <w:i/>
          <w:vertAlign w:val="subscript"/>
          <w:lang w:val="en-US"/>
        </w:rPr>
        <w:t>rKig</w:t>
      </w:r>
      <w:r>
        <w:rPr>
          <w:lang w:val="en-US"/>
        </w:rPr>
        <w:t xml:space="preserve"> in</w:t>
      </w:r>
      <w:r w:rsidRPr="000D5FEA">
        <w:rPr>
          <w:lang w:val="en-US"/>
        </w:rPr>
        <w:t xml:space="preserve"> the moment of the signal appearance on the ion collector. An ad</w:t>
      </w:r>
      <w:r>
        <w:rPr>
          <w:lang w:val="en-US"/>
        </w:rPr>
        <w:t>ditional advantage of “</w:t>
      </w:r>
      <w:r w:rsidRPr="000D5FEA">
        <w:rPr>
          <w:lang w:val="en-US"/>
        </w:rPr>
        <w:t>ion tracking</w:t>
      </w:r>
      <w:r>
        <w:rPr>
          <w:lang w:val="en-US"/>
        </w:rPr>
        <w:t>”</w:t>
      </w:r>
      <w:r w:rsidRPr="000D5FEA">
        <w:rPr>
          <w:lang w:val="en-US"/>
        </w:rPr>
        <w:t xml:space="preserve"> was the ability to explicitly show that the </w:t>
      </w:r>
      <w:r w:rsidRPr="00DB65C8">
        <w:rPr>
          <w:lang w:val="en-US"/>
        </w:rPr>
        <w:t>self-sustaining</w:t>
      </w:r>
      <w:r w:rsidRPr="000D5FEA">
        <w:rPr>
          <w:lang w:val="en-US"/>
        </w:rPr>
        <w:t xml:space="preserve"> discharge does extend to the entire anode-cathode gap, since ions with energies of 50 eV </w:t>
      </w:r>
      <w:r>
        <w:rPr>
          <w:lang w:val="en-US"/>
        </w:rPr>
        <w:sym w:font="Symbol" w:char="F0A3"/>
      </w:r>
      <w:r>
        <w:rPr>
          <w:lang w:val="en-US"/>
        </w:rPr>
        <w:t xml:space="preserve"> </w:t>
      </w:r>
      <w:r w:rsidRPr="00DB65C8">
        <w:rPr>
          <w:i/>
          <w:lang w:val="en-US"/>
        </w:rPr>
        <w:t>W</w:t>
      </w:r>
      <w:r w:rsidRPr="00DB65C8">
        <w:rPr>
          <w:i/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</w:t>
      </w:r>
      <w:r w:rsidRPr="00DB65C8">
        <w:rPr>
          <w:i/>
          <w:lang w:val="en-US"/>
        </w:rPr>
        <w:t>eU</w:t>
      </w:r>
      <w:r w:rsidRPr="00DB65C8">
        <w:rPr>
          <w:i/>
          <w:vertAlign w:val="subscript"/>
          <w:lang w:val="en-US"/>
        </w:rPr>
        <w:t>A</w:t>
      </w:r>
      <w:r>
        <w:rPr>
          <w:lang w:val="en-US"/>
        </w:rPr>
        <w:t xml:space="preserve"> </w:t>
      </w:r>
      <w:r w:rsidRPr="000D5FEA">
        <w:rPr>
          <w:lang w:val="en-US"/>
        </w:rPr>
        <w:t xml:space="preserve">come to the ion collector, which was an element of the energy analyzer with a </w:t>
      </w:r>
      <w:r>
        <w:rPr>
          <w:lang w:val="en-US"/>
        </w:rPr>
        <w:t xml:space="preserve">retarding </w:t>
      </w:r>
      <w:r w:rsidRPr="000D5FEA">
        <w:rPr>
          <w:lang w:val="en-US"/>
        </w:rPr>
        <w:t>potential (RFA) at the time of ignition</w:t>
      </w:r>
      <w:r>
        <w:rPr>
          <w:lang w:val="en-US"/>
        </w:rPr>
        <w:t xml:space="preserve"> (</w:t>
      </w:r>
      <w:r w:rsidRPr="00F4307F">
        <w:rPr>
          <w:i/>
          <w:lang w:val="en-US"/>
        </w:rPr>
        <w:t>U</w:t>
      </w:r>
      <w:r w:rsidRPr="00F4307F">
        <w:rPr>
          <w:i/>
          <w:vertAlign w:val="subscript"/>
          <w:lang w:val="en-US"/>
        </w:rPr>
        <w:t>A</w:t>
      </w:r>
      <w:r w:rsidRPr="000D5FEA">
        <w:rPr>
          <w:lang w:val="en-US"/>
        </w:rPr>
        <w:t xml:space="preserve"> is the potential of the anode</w:t>
      </w:r>
      <w:r>
        <w:rPr>
          <w:lang w:val="en-US"/>
        </w:rPr>
        <w:t>)</w:t>
      </w:r>
      <w:r w:rsidRPr="000D5FEA">
        <w:rPr>
          <w:lang w:val="en-US"/>
        </w:rPr>
        <w:t xml:space="preserve">. </w:t>
      </w:r>
      <w:r w:rsidRPr="00307B20">
        <w:rPr>
          <w:lang w:val="en-US"/>
        </w:rPr>
        <w:t>As a result</w:t>
      </w:r>
      <w:r w:rsidRPr="000D5FEA">
        <w:rPr>
          <w:lang w:val="en-US"/>
        </w:rPr>
        <w:t xml:space="preserve">, 2 stationary modes of the </w:t>
      </w:r>
      <w:r w:rsidRPr="001C1378">
        <w:rPr>
          <w:i/>
          <w:lang w:val="en-US"/>
        </w:rPr>
        <w:t>E</w:t>
      </w:r>
      <w:r>
        <w:sym w:font="Symbol" w:char="F0B4"/>
      </w:r>
      <w:r w:rsidRPr="002A7A89">
        <w:rPr>
          <w:i/>
          <w:lang w:val="en-US"/>
        </w:rPr>
        <w:t>B</w:t>
      </w:r>
      <w:r w:rsidRPr="001C1378">
        <w:rPr>
          <w:lang w:val="en-US"/>
        </w:rPr>
        <w:t xml:space="preserve"> </w:t>
      </w:r>
      <w:r w:rsidRPr="000D5FEA">
        <w:rPr>
          <w:lang w:val="en-US"/>
        </w:rPr>
        <w:t xml:space="preserve">discharge were detected, </w:t>
      </w:r>
      <w:r w:rsidRPr="006A37A3">
        <w:rPr>
          <w:lang w:val="en-US"/>
        </w:rPr>
        <w:t>starting each</w:t>
      </w:r>
      <w:r w:rsidRPr="000D5FEA">
        <w:rPr>
          <w:lang w:val="en-US"/>
        </w:rPr>
        <w:t xml:space="preserve"> of them with the ignition moments – a sharp increase in the discharge current from 0 (neutral gas) to </w:t>
      </w:r>
      <w:r w:rsidRPr="00F4307F">
        <w:rPr>
          <w:i/>
          <w:lang w:val="en-US"/>
        </w:rPr>
        <w:t>I</w:t>
      </w:r>
      <w:r w:rsidRPr="00F4307F">
        <w:rPr>
          <w:vertAlign w:val="subscript"/>
          <w:lang w:val="en-US"/>
        </w:rPr>
        <w:t>1</w:t>
      </w:r>
      <w:r w:rsidRPr="000D5FEA">
        <w:rPr>
          <w:lang w:val="en-US"/>
        </w:rPr>
        <w:t xml:space="preserve"> (point </w:t>
      </w:r>
      <w:r w:rsidRPr="00F4307F">
        <w:rPr>
          <w:i/>
          <w:lang w:val="en-US"/>
        </w:rPr>
        <w:t>B</w:t>
      </w:r>
      <w:r w:rsidRPr="000D5FEA">
        <w:rPr>
          <w:lang w:val="en-US"/>
        </w:rPr>
        <w:t xml:space="preserve"> in Fig. 1a) and from </w:t>
      </w:r>
      <w:r w:rsidRPr="001C1378">
        <w:rPr>
          <w:i/>
          <w:lang w:val="en-US"/>
        </w:rPr>
        <w:t>I</w:t>
      </w:r>
      <w:r w:rsidRPr="001C1378">
        <w:rPr>
          <w:vertAlign w:val="subscript"/>
          <w:lang w:val="en-US"/>
        </w:rPr>
        <w:t>1</w:t>
      </w:r>
      <w:r w:rsidRPr="000D5FEA">
        <w:rPr>
          <w:lang w:val="en-US"/>
        </w:rPr>
        <w:t xml:space="preserve"> (stationary mode of </w:t>
      </w:r>
      <w:r>
        <w:rPr>
          <w:lang w:val="en-US"/>
        </w:rPr>
        <w:t xml:space="preserve">abnormal glow </w:t>
      </w:r>
      <w:r w:rsidRPr="000D5FEA">
        <w:rPr>
          <w:lang w:val="en-US"/>
        </w:rPr>
        <w:t xml:space="preserve">discharge) to </w:t>
      </w:r>
      <w:r w:rsidRPr="00F4307F">
        <w:rPr>
          <w:i/>
          <w:lang w:val="en-US"/>
        </w:rPr>
        <w:t>I</w:t>
      </w:r>
      <w:r w:rsidRPr="00F4307F">
        <w:rPr>
          <w:vertAlign w:val="subscript"/>
          <w:lang w:val="en-US"/>
        </w:rPr>
        <w:t>2</w:t>
      </w:r>
      <w:r w:rsidRPr="000D5FEA">
        <w:rPr>
          <w:lang w:val="en-US"/>
        </w:rPr>
        <w:t xml:space="preserve"> (point </w:t>
      </w:r>
      <w:r w:rsidRPr="00F4307F">
        <w:rPr>
          <w:i/>
          <w:lang w:val="en-US"/>
        </w:rPr>
        <w:t>D</w:t>
      </w:r>
      <w:r w:rsidRPr="000D5FEA">
        <w:rPr>
          <w:lang w:val="en-US"/>
        </w:rPr>
        <w:t xml:space="preserve"> i</w:t>
      </w:r>
      <w:r>
        <w:rPr>
          <w:lang w:val="en-US"/>
        </w:rPr>
        <w:t>n Fig. 1a). Two current jumps “</w:t>
      </w:r>
      <w:r w:rsidRPr="000D5FEA">
        <w:rPr>
          <w:lang w:val="en-US"/>
        </w:rPr>
        <w:t>in the glow discharge mode</w:t>
      </w:r>
      <w:r>
        <w:rPr>
          <w:lang w:val="en-US"/>
        </w:rPr>
        <w:t>”</w:t>
      </w:r>
      <w:r w:rsidRPr="000D5FEA">
        <w:rPr>
          <w:lang w:val="en-US"/>
        </w:rPr>
        <w:t xml:space="preserve"> and in the glow discharge mode are the fundamental difference between a </w:t>
      </w:r>
      <w:r w:rsidRPr="001C1378">
        <w:rPr>
          <w:i/>
          <w:lang w:val="en-US"/>
        </w:rPr>
        <w:t>E</w:t>
      </w:r>
      <w:r>
        <w:sym w:font="Symbol" w:char="F0B4"/>
      </w:r>
      <w:r w:rsidRPr="002A7A89">
        <w:rPr>
          <w:i/>
          <w:lang w:val="en-US"/>
        </w:rPr>
        <w:t>B</w:t>
      </w:r>
      <w:r w:rsidRPr="001C1378">
        <w:rPr>
          <w:lang w:val="en-US"/>
        </w:rPr>
        <w:t xml:space="preserve"> </w:t>
      </w:r>
      <w:r w:rsidRPr="000D5FEA">
        <w:rPr>
          <w:lang w:val="en-US"/>
        </w:rPr>
        <w:t xml:space="preserve">discharge and a discharge without a magnetic field. </w:t>
      </w:r>
      <w:r>
        <w:rPr>
          <w:lang w:val="en-US"/>
        </w:rPr>
        <w:t xml:space="preserve">You can </w:t>
      </w:r>
      <w:r w:rsidRPr="000D5FEA">
        <w:rPr>
          <w:lang w:val="en-US"/>
        </w:rPr>
        <w:t xml:space="preserve">build the following line of generation of </w:t>
      </w:r>
      <w:r w:rsidRPr="00F4307F">
        <w:rPr>
          <w:i/>
          <w:lang w:val="en-US"/>
        </w:rPr>
        <w:t>E</w:t>
      </w:r>
      <w:r>
        <w:rPr>
          <w:lang w:val="en-US"/>
        </w:rPr>
        <w:sym w:font="Symbol" w:char="F0B4"/>
      </w:r>
      <w:r w:rsidRPr="00F4307F">
        <w:rPr>
          <w:i/>
          <w:lang w:val="en-US"/>
        </w:rPr>
        <w:t>B</w:t>
      </w:r>
      <w:r w:rsidRPr="000D5FEA">
        <w:rPr>
          <w:lang w:val="en-US"/>
        </w:rPr>
        <w:t xml:space="preserve"> discharge: mode I of the anomalous glow discharge – mode II of the anomalous glow discharge – arc discharge.</w:t>
      </w:r>
    </w:p>
    <w:p w:rsidR="009B6EFD" w:rsidRPr="008F1556" w:rsidRDefault="009B6EFD" w:rsidP="009B6EFD">
      <w:pPr>
        <w:pStyle w:val="a6"/>
        <w:spacing w:after="0"/>
        <w:contextualSpacing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33020</wp:posOffset>
            </wp:positionV>
            <wp:extent cx="3867150" cy="1641475"/>
            <wp:effectExtent l="19050" t="0" r="0" b="0"/>
            <wp:wrapTight wrapText="bothSides">
              <wp:wrapPolygon edited="0">
                <wp:start x="-106" y="0"/>
                <wp:lineTo x="-106" y="21308"/>
                <wp:lineTo x="21600" y="21308"/>
                <wp:lineTo x="21600" y="0"/>
                <wp:lineTo x="-10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Fig</w:t>
      </w:r>
      <w:r w:rsidRPr="008F1556">
        <w:rPr>
          <w:lang w:val="en-US"/>
        </w:rPr>
        <w:t xml:space="preserve">. 1. Ignition curve </w:t>
      </w:r>
      <w:r w:rsidRPr="008F1556">
        <w:rPr>
          <w:i/>
          <w:lang w:val="en-US"/>
        </w:rPr>
        <w:t>E</w:t>
      </w:r>
      <w:r>
        <w:sym w:font="Symbol" w:char="F0B4"/>
      </w:r>
      <w:r w:rsidRPr="002A7A89">
        <w:rPr>
          <w:i/>
          <w:lang w:val="en-US"/>
        </w:rPr>
        <w:t>B</w:t>
      </w:r>
      <w:r w:rsidRPr="008F1556">
        <w:rPr>
          <w:lang w:val="en-US"/>
        </w:rPr>
        <w:t xml:space="preserve"> discharge: </w:t>
      </w:r>
      <w:r w:rsidRPr="008A6B6B">
        <w:rPr>
          <w:bCs/>
          <w:i/>
          <w:iCs/>
          <w:lang w:val="en-US"/>
        </w:rPr>
        <w:t>dU</w:t>
      </w:r>
      <w:r w:rsidRPr="008A6B6B">
        <w:rPr>
          <w:bCs/>
          <w:i/>
          <w:iCs/>
          <w:vertAlign w:val="subscript"/>
          <w:lang w:val="en-US"/>
        </w:rPr>
        <w:t>RFA</w:t>
      </w:r>
      <w:r w:rsidRPr="008F1556">
        <w:rPr>
          <w:bCs/>
          <w:lang w:val="en-US"/>
        </w:rPr>
        <w:t>/</w:t>
      </w:r>
      <w:r w:rsidRPr="008A6B6B">
        <w:rPr>
          <w:bCs/>
          <w:i/>
          <w:iCs/>
          <w:lang w:val="en-US"/>
        </w:rPr>
        <w:t>dt</w:t>
      </w:r>
      <w:r w:rsidRPr="008F1556">
        <w:rPr>
          <w:bCs/>
          <w:lang w:val="en-US"/>
        </w:rPr>
        <w:t xml:space="preserve"> = (2 </w:t>
      </w:r>
      <w:r>
        <w:rPr>
          <w:bCs/>
          <w:lang w:val="en-US"/>
        </w:rPr>
        <w:t>V</w:t>
      </w:r>
      <w:r w:rsidRPr="008F1556">
        <w:rPr>
          <w:bCs/>
          <w:lang w:val="en-US"/>
        </w:rPr>
        <w:t xml:space="preserve">)/(30 </w:t>
      </w:r>
      <w:r>
        <w:rPr>
          <w:bCs/>
          <w:lang w:val="en-US"/>
        </w:rPr>
        <w:t>m</w:t>
      </w:r>
      <w:r w:rsidRPr="008A6B6B">
        <w:rPr>
          <w:bCs/>
        </w:rPr>
        <w:t>с</w:t>
      </w:r>
      <w:r w:rsidRPr="008F1556">
        <w:rPr>
          <w:bCs/>
          <w:lang w:val="en-US"/>
        </w:rPr>
        <w:t>);</w:t>
      </w:r>
      <w:r w:rsidRPr="008F1556">
        <w:rPr>
          <w:lang w:val="en-US"/>
        </w:rPr>
        <w:t xml:space="preserve"> </w:t>
      </w:r>
      <w:r w:rsidRPr="000D5FEA">
        <w:rPr>
          <w:i/>
          <w:lang w:val="en-US"/>
        </w:rPr>
        <w:t>a</w:t>
      </w:r>
      <w:r w:rsidRPr="008F1556">
        <w:rPr>
          <w:lang w:val="en-US"/>
        </w:rPr>
        <w:t xml:space="preserve">) </w:t>
      </w:r>
      <w:r w:rsidRPr="000D5FEA">
        <w:rPr>
          <w:lang w:val="en-US"/>
        </w:rPr>
        <w:t>neon</w:t>
      </w:r>
      <w:r w:rsidRPr="008F1556">
        <w:rPr>
          <w:lang w:val="en-US"/>
        </w:rPr>
        <w:t xml:space="preserve">; </w:t>
      </w:r>
      <w:r>
        <w:rPr>
          <w:lang w:val="en-US"/>
        </w:rPr>
        <w:t>gas inlet</w:t>
      </w:r>
      <w:r w:rsidRPr="008F1556">
        <w:rPr>
          <w:lang w:val="en-US"/>
        </w:rPr>
        <w:t xml:space="preserve"> </w:t>
      </w:r>
      <w:r>
        <w:rPr>
          <w:lang w:val="en-US"/>
        </w:rPr>
        <w:t>rate</w:t>
      </w:r>
      <w:r w:rsidRPr="008F1556">
        <w:rPr>
          <w:lang w:val="en-US"/>
        </w:rPr>
        <w:t xml:space="preserve"> </w:t>
      </w:r>
      <w:r w:rsidRPr="000D5FEA">
        <w:rPr>
          <w:i/>
          <w:lang w:val="en-US"/>
        </w:rPr>
        <w:t>q</w:t>
      </w:r>
      <w:r w:rsidRPr="00207303">
        <w:rPr>
          <w:i/>
          <w:vertAlign w:val="subscript"/>
          <w:lang w:val="en-US"/>
        </w:rPr>
        <w:t>Ne</w:t>
      </w:r>
      <w:r w:rsidRPr="008F1556">
        <w:rPr>
          <w:lang w:val="en-US"/>
        </w:rPr>
        <w:t xml:space="preserve"> = 80 </w:t>
      </w:r>
      <w:r w:rsidRPr="000D5FEA">
        <w:rPr>
          <w:lang w:val="en-US"/>
        </w:rPr>
        <w:t>s</w:t>
      </w:r>
      <w:r>
        <w:rPr>
          <w:lang w:val="en-US"/>
        </w:rPr>
        <w:t>cc</w:t>
      </w:r>
      <w:r w:rsidRPr="000D5FEA">
        <w:rPr>
          <w:lang w:val="en-US"/>
        </w:rPr>
        <w:t>m</w:t>
      </w:r>
      <w:r w:rsidRPr="008F1556">
        <w:rPr>
          <w:lang w:val="en-US"/>
        </w:rPr>
        <w:t xml:space="preserve">, </w:t>
      </w:r>
      <w:r w:rsidRPr="000D5FEA">
        <w:rPr>
          <w:i/>
          <w:lang w:val="en-US"/>
        </w:rPr>
        <w:t>U</w:t>
      </w:r>
      <w:r w:rsidRPr="000D5FEA">
        <w:rPr>
          <w:i/>
          <w:vertAlign w:val="subscript"/>
          <w:lang w:val="en-US"/>
        </w:rPr>
        <w:t>ig</w:t>
      </w:r>
      <w:r w:rsidRPr="008F1556">
        <w:rPr>
          <w:lang w:val="en-US"/>
        </w:rPr>
        <w:t xml:space="preserve"> = 1150 </w:t>
      </w:r>
      <w:r>
        <w:rPr>
          <w:lang w:val="en-US"/>
        </w:rPr>
        <w:t>V</w:t>
      </w:r>
      <w:r w:rsidRPr="008F1556">
        <w:rPr>
          <w:lang w:val="en-US"/>
        </w:rPr>
        <w:t xml:space="preserve">, </w:t>
      </w:r>
      <w:r w:rsidRPr="008A6B6B">
        <w:rPr>
          <w:i/>
          <w:iCs/>
        </w:rPr>
        <w:t>В</w:t>
      </w:r>
      <w:r w:rsidRPr="008A6B6B">
        <w:rPr>
          <w:i/>
          <w:iCs/>
          <w:vertAlign w:val="subscript"/>
          <w:lang w:val="en-US"/>
        </w:rPr>
        <w:t>rKig</w:t>
      </w:r>
      <w:r w:rsidRPr="008F1556">
        <w:rPr>
          <w:i/>
          <w:iCs/>
          <w:vertAlign w:val="subscript"/>
          <w:lang w:val="en-US"/>
        </w:rPr>
        <w:t>.</w:t>
      </w:r>
      <w:r w:rsidRPr="008A6B6B">
        <w:rPr>
          <w:vertAlign w:val="subscript"/>
          <w:lang w:val="en-US"/>
        </w:rPr>
        <w:t>I</w:t>
      </w:r>
      <w:r w:rsidRPr="008F1556">
        <w:rPr>
          <w:lang w:val="en-US"/>
        </w:rPr>
        <w:t xml:space="preserve"> = 1477 </w:t>
      </w:r>
      <w:r w:rsidRPr="000D5FEA">
        <w:rPr>
          <w:lang w:val="en-US"/>
        </w:rPr>
        <w:t>G</w:t>
      </w:r>
      <w:r w:rsidRPr="008F1556">
        <w:rPr>
          <w:lang w:val="en-US"/>
        </w:rPr>
        <w:t xml:space="preserve">, </w:t>
      </w:r>
      <w:r w:rsidRPr="008A6B6B">
        <w:rPr>
          <w:i/>
          <w:iCs/>
        </w:rPr>
        <w:t>В</w:t>
      </w:r>
      <w:r w:rsidRPr="008A6B6B">
        <w:rPr>
          <w:i/>
          <w:iCs/>
          <w:vertAlign w:val="subscript"/>
          <w:lang w:val="en-US"/>
        </w:rPr>
        <w:t>rKig</w:t>
      </w:r>
      <w:r w:rsidRPr="008F1556">
        <w:rPr>
          <w:i/>
          <w:iCs/>
          <w:vertAlign w:val="subscript"/>
          <w:lang w:val="en-US"/>
        </w:rPr>
        <w:t>.</w:t>
      </w:r>
      <w:r w:rsidRPr="008A6B6B">
        <w:rPr>
          <w:vertAlign w:val="subscript"/>
          <w:lang w:val="en-US"/>
        </w:rPr>
        <w:t>II</w:t>
      </w:r>
      <w:r w:rsidRPr="008F1556">
        <w:rPr>
          <w:vertAlign w:val="subscript"/>
          <w:lang w:val="en-US"/>
        </w:rPr>
        <w:t xml:space="preserve"> </w:t>
      </w:r>
      <w:r w:rsidRPr="008F1556">
        <w:rPr>
          <w:lang w:val="en-US"/>
        </w:rPr>
        <w:t xml:space="preserve">= 2145 </w:t>
      </w:r>
      <w:r w:rsidRPr="000D5FEA">
        <w:rPr>
          <w:lang w:val="en-US"/>
        </w:rPr>
        <w:t>G</w:t>
      </w:r>
      <w:r w:rsidRPr="008F1556">
        <w:rPr>
          <w:lang w:val="en-US"/>
        </w:rPr>
        <w:t xml:space="preserve">; </w:t>
      </w:r>
      <w:r w:rsidRPr="000D5FEA">
        <w:rPr>
          <w:i/>
          <w:lang w:val="en-US"/>
        </w:rPr>
        <w:t>b</w:t>
      </w:r>
      <w:r w:rsidRPr="008F1556">
        <w:rPr>
          <w:lang w:val="en-US"/>
        </w:rPr>
        <w:t xml:space="preserve">) </w:t>
      </w:r>
      <w:r w:rsidRPr="000D5FEA">
        <w:rPr>
          <w:lang w:val="en-US"/>
        </w:rPr>
        <w:t>argon</w:t>
      </w:r>
      <w:r w:rsidRPr="008F1556">
        <w:rPr>
          <w:lang w:val="en-US"/>
        </w:rPr>
        <w:t xml:space="preserve">, 5 </w:t>
      </w:r>
      <w:r>
        <w:rPr>
          <w:lang w:val="en-US"/>
        </w:rPr>
        <w:t>sccm</w:t>
      </w:r>
      <w:r w:rsidRPr="008F1556">
        <w:rPr>
          <w:lang w:val="en-US"/>
        </w:rPr>
        <w:t xml:space="preserve">, </w:t>
      </w:r>
      <w:r w:rsidRPr="002A7A89">
        <w:rPr>
          <w:i/>
          <w:lang w:val="en-US"/>
        </w:rPr>
        <w:t>U</w:t>
      </w:r>
      <w:r w:rsidRPr="002A7A89">
        <w:rPr>
          <w:i/>
          <w:vertAlign w:val="subscript"/>
          <w:lang w:val="en-US"/>
        </w:rPr>
        <w:t>ig</w:t>
      </w:r>
      <w:r w:rsidRPr="008F1556">
        <w:rPr>
          <w:lang w:val="en-US"/>
        </w:rPr>
        <w:t xml:space="preserve"> = 1044 </w:t>
      </w:r>
      <w:r>
        <w:rPr>
          <w:lang w:val="en-US"/>
        </w:rPr>
        <w:t>V</w:t>
      </w:r>
      <w:r w:rsidRPr="008F1556">
        <w:rPr>
          <w:lang w:val="en-US"/>
        </w:rPr>
        <w:t xml:space="preserve">, </w:t>
      </w:r>
      <w:r w:rsidRPr="008A6B6B">
        <w:rPr>
          <w:i/>
          <w:iCs/>
        </w:rPr>
        <w:t>В</w:t>
      </w:r>
      <w:r w:rsidRPr="008A6B6B">
        <w:rPr>
          <w:i/>
          <w:iCs/>
          <w:vertAlign w:val="subscript"/>
          <w:lang w:val="en-US"/>
        </w:rPr>
        <w:t>rKig</w:t>
      </w:r>
      <w:r w:rsidRPr="008F1556">
        <w:rPr>
          <w:i/>
          <w:iCs/>
          <w:vertAlign w:val="subscript"/>
          <w:lang w:val="en-US"/>
        </w:rPr>
        <w:t>.</w:t>
      </w:r>
      <w:r w:rsidRPr="008A6B6B">
        <w:rPr>
          <w:vertAlign w:val="subscript"/>
          <w:lang w:val="en-US"/>
        </w:rPr>
        <w:t>I</w:t>
      </w:r>
      <w:r w:rsidRPr="008F1556">
        <w:rPr>
          <w:lang w:val="en-US"/>
        </w:rPr>
        <w:t xml:space="preserve"> = 1427 </w:t>
      </w:r>
      <w:r w:rsidRPr="000D5FEA">
        <w:rPr>
          <w:lang w:val="en-US"/>
        </w:rPr>
        <w:t>G</w:t>
      </w:r>
      <w:r w:rsidRPr="008F1556">
        <w:rPr>
          <w:lang w:val="en-US"/>
        </w:rPr>
        <w:t xml:space="preserve">, </w:t>
      </w:r>
      <w:r w:rsidRPr="008A6B6B">
        <w:rPr>
          <w:i/>
          <w:iCs/>
        </w:rPr>
        <w:t>В</w:t>
      </w:r>
      <w:r w:rsidRPr="008A6B6B">
        <w:rPr>
          <w:i/>
          <w:iCs/>
          <w:vertAlign w:val="subscript"/>
          <w:lang w:val="en-US"/>
        </w:rPr>
        <w:t>rKig</w:t>
      </w:r>
      <w:r w:rsidRPr="008F1556">
        <w:rPr>
          <w:i/>
          <w:iCs/>
          <w:vertAlign w:val="subscript"/>
          <w:lang w:val="en-US"/>
        </w:rPr>
        <w:t>.</w:t>
      </w:r>
      <w:r w:rsidRPr="008A6B6B">
        <w:rPr>
          <w:vertAlign w:val="subscript"/>
          <w:lang w:val="en-US"/>
        </w:rPr>
        <w:t>II</w:t>
      </w:r>
      <w:r w:rsidRPr="008F1556">
        <w:rPr>
          <w:vertAlign w:val="subscript"/>
          <w:lang w:val="en-US"/>
        </w:rPr>
        <w:t xml:space="preserve"> </w:t>
      </w:r>
      <w:r w:rsidRPr="008F1556">
        <w:rPr>
          <w:lang w:val="en-US"/>
        </w:rPr>
        <w:t xml:space="preserve">= 1625 </w:t>
      </w:r>
      <w:r w:rsidRPr="000D5FEA">
        <w:rPr>
          <w:lang w:val="en-US"/>
        </w:rPr>
        <w:t>G</w:t>
      </w:r>
      <w:r w:rsidRPr="008F1556">
        <w:rPr>
          <w:lang w:val="en-US"/>
        </w:rPr>
        <w:t>.</w:t>
      </w:r>
    </w:p>
    <w:p w:rsidR="009B6EFD" w:rsidRPr="002A7A89" w:rsidRDefault="009B6EFD" w:rsidP="009B6EFD">
      <w:pPr>
        <w:pStyle w:val="Zv-bodyreport"/>
        <w:spacing w:before="840"/>
        <w:rPr>
          <w:lang w:val="en-US"/>
        </w:rPr>
      </w:pPr>
      <w:r w:rsidRPr="002A7A89">
        <w:rPr>
          <w:lang w:val="en-US"/>
        </w:rPr>
        <w:t xml:space="preserve">Working on mixtures of inert gases, it was impossible to ignore experiments with </w:t>
      </w:r>
      <w:r>
        <w:rPr>
          <w:lang w:val="en-US"/>
        </w:rPr>
        <w:t>“Penning pairs”</w:t>
      </w:r>
      <w:r w:rsidRPr="002A7A89">
        <w:rPr>
          <w:lang w:val="en-US"/>
        </w:rPr>
        <w:t xml:space="preserve"> – in our case, mixtures of neon with argon or krypton, in which the excitation potential of neon into a metastable state is about 16.7 eV, which exceeds the ionization potentials of argon (15.7 eV) and</w:t>
      </w:r>
      <w:r>
        <w:rPr>
          <w:lang w:val="en-US"/>
        </w:rPr>
        <w:t xml:space="preserve"> krypton (14 eV). The natural, “</w:t>
      </w:r>
      <w:r w:rsidRPr="002A7A89">
        <w:rPr>
          <w:lang w:val="en-US"/>
        </w:rPr>
        <w:t>according to Penning</w:t>
      </w:r>
      <w:r>
        <w:rPr>
          <w:lang w:val="en-US"/>
        </w:rPr>
        <w:t>”</w:t>
      </w:r>
      <w:r w:rsidRPr="002A7A89">
        <w:rPr>
          <w:lang w:val="en-US"/>
        </w:rPr>
        <w:t xml:space="preserve">, behavior of the ignition curve </w:t>
      </w:r>
      <w:r w:rsidRPr="001C1378">
        <w:rPr>
          <w:i/>
          <w:lang w:val="en-US"/>
        </w:rPr>
        <w:t>B</w:t>
      </w:r>
      <w:r w:rsidRPr="001C1378">
        <w:rPr>
          <w:i/>
          <w:vertAlign w:val="subscript"/>
          <w:lang w:val="en-US"/>
        </w:rPr>
        <w:t>ig</w:t>
      </w:r>
      <w:r w:rsidRPr="001C1378">
        <w:rPr>
          <w:vertAlign w:val="subscript"/>
          <w:lang w:val="en-US"/>
        </w:rPr>
        <w:t>(</w:t>
      </w:r>
      <w:r w:rsidRPr="001C1378">
        <w:rPr>
          <w:i/>
          <w:vertAlign w:val="subscript"/>
          <w:lang w:val="en-US"/>
        </w:rPr>
        <w:t>rK</w:t>
      </w:r>
      <w:r w:rsidRPr="001C1378">
        <w:rPr>
          <w:vertAlign w:val="subscript"/>
          <w:lang w:val="en-US"/>
        </w:rPr>
        <w:t>)</w:t>
      </w:r>
      <w:r w:rsidRPr="002A7A89">
        <w:rPr>
          <w:lang w:val="en-US"/>
        </w:rPr>
        <w:t xml:space="preserve"> = </w:t>
      </w:r>
      <w:r w:rsidRPr="001C1378">
        <w:rPr>
          <w:i/>
          <w:lang w:val="en-US"/>
        </w:rPr>
        <w:t>f</w:t>
      </w:r>
      <w:r w:rsidRPr="002A7A89">
        <w:rPr>
          <w:lang w:val="en-US"/>
        </w:rPr>
        <w:t>(</w:t>
      </w:r>
      <w:r w:rsidRPr="001C1378">
        <w:rPr>
          <w:i/>
          <w:lang w:val="en-US"/>
        </w:rPr>
        <w:t>q</w:t>
      </w:r>
      <w:r w:rsidRPr="002A7A89">
        <w:rPr>
          <w:lang w:val="en-US"/>
        </w:rPr>
        <w:t xml:space="preserve">) – </w:t>
      </w:r>
      <w:r w:rsidRPr="00451205">
        <w:rPr>
          <w:lang w:val="en-US"/>
        </w:rPr>
        <w:t>reduction of the energy input from the electromagnetic field required for the ignition of the discharge</w:t>
      </w:r>
      <w:bookmarkStart w:id="0" w:name="_GoBack"/>
      <w:bookmarkEnd w:id="0"/>
      <w:r w:rsidRPr="002A7A89">
        <w:rPr>
          <w:lang w:val="en-US"/>
        </w:rPr>
        <w:t xml:space="preserve"> – was observed when argon or krypton was added to neon as an impurity. However, if neon was an additive to argon or krypton, the ignition induction increased to </w:t>
      </w:r>
      <w:r w:rsidRPr="001C1378">
        <w:rPr>
          <w:i/>
          <w:lang w:val="en-US"/>
        </w:rPr>
        <w:t>q</w:t>
      </w:r>
      <w:r w:rsidRPr="001C1378">
        <w:rPr>
          <w:i/>
          <w:vertAlign w:val="subscript"/>
          <w:lang w:val="en-US"/>
        </w:rPr>
        <w:t>Ne</w:t>
      </w:r>
      <w:r w:rsidRPr="002A7A89">
        <w:rPr>
          <w:lang w:val="en-US"/>
        </w:rPr>
        <w:t xml:space="preserve"> </w:t>
      </w:r>
      <w:r>
        <w:rPr>
          <w:lang w:val="en-US"/>
        </w:rPr>
        <w:sym w:font="Symbol" w:char="F0BB"/>
      </w:r>
      <w:r w:rsidRPr="002A7A89">
        <w:rPr>
          <w:lang w:val="en-US"/>
        </w:rPr>
        <w:t xml:space="preserve"> 30 </w:t>
      </w:r>
      <w:r>
        <w:rPr>
          <w:lang w:val="en-US"/>
        </w:rPr>
        <w:t>sccm</w:t>
      </w:r>
      <w:r w:rsidRPr="002A7A89">
        <w:rPr>
          <w:lang w:val="en-US"/>
        </w:rPr>
        <w:t xml:space="preserve"> and then monotonically decreased, not reaching the starting value at </w:t>
      </w:r>
      <w:r w:rsidRPr="001C1378">
        <w:rPr>
          <w:i/>
          <w:lang w:val="en-US"/>
        </w:rPr>
        <w:t>q</w:t>
      </w:r>
      <w:r w:rsidRPr="001C1378">
        <w:rPr>
          <w:i/>
          <w:vertAlign w:val="subscript"/>
          <w:lang w:val="en-US"/>
        </w:rPr>
        <w:t>Ne</w:t>
      </w:r>
      <w:r w:rsidRPr="002A7A89">
        <w:rPr>
          <w:lang w:val="en-US"/>
        </w:rPr>
        <w:t xml:space="preserve"> </w:t>
      </w:r>
      <w:r>
        <w:rPr>
          <w:lang w:val="en-US"/>
        </w:rPr>
        <w:sym w:font="Symbol" w:char="F0A3"/>
      </w:r>
      <w:r w:rsidRPr="002A7A89">
        <w:rPr>
          <w:lang w:val="en-US"/>
        </w:rPr>
        <w:t xml:space="preserve"> 90 </w:t>
      </w:r>
      <w:r>
        <w:rPr>
          <w:lang w:val="en-US"/>
        </w:rPr>
        <w:t>sccm</w:t>
      </w:r>
      <w:r w:rsidRPr="002A7A89">
        <w:rPr>
          <w:lang w:val="en-US"/>
        </w:rPr>
        <w:t xml:space="preserve">; the Penning effect (explicitly) did not work here. The difference in the behavior of Penning pairs when their role in the pair changes – the main gas or impurity – </w:t>
      </w:r>
      <w:r w:rsidRPr="00E51FFA">
        <w:rPr>
          <w:lang w:val="en-US"/>
        </w:rPr>
        <w:t>we explain the varying degree of influence of the discharge on the distribution of potential in the cathode region</w:t>
      </w:r>
      <w:r w:rsidRPr="002A7A89">
        <w:rPr>
          <w:lang w:val="en-US"/>
        </w:rPr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18" w:rsidRDefault="00B13218">
      <w:r>
        <w:separator/>
      </w:r>
    </w:p>
  </w:endnote>
  <w:endnote w:type="continuationSeparator" w:id="0">
    <w:p w:rsidR="00B13218" w:rsidRDefault="00B13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6A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6A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11E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18" w:rsidRDefault="00B13218">
      <w:r>
        <w:separator/>
      </w:r>
    </w:p>
  </w:footnote>
  <w:footnote w:type="continuationSeparator" w:id="0">
    <w:p w:rsidR="00B13218" w:rsidRDefault="00B13218">
      <w:r>
        <w:continuationSeparator/>
      </w:r>
    </w:p>
  </w:footnote>
  <w:footnote w:id="1">
    <w:p w:rsidR="004411EF" w:rsidRPr="004411EF" w:rsidRDefault="004411EF">
      <w:pPr>
        <w:pStyle w:val="a8"/>
        <w:rPr>
          <w:lang w:val="en-US"/>
        </w:rPr>
      </w:pPr>
      <w:r w:rsidRPr="004411EF">
        <w:rPr>
          <w:rStyle w:val="aa"/>
          <w:lang w:val="en-US"/>
        </w:rPr>
        <w:t>*)</w:t>
      </w:r>
      <w:r w:rsidRPr="004411EF">
        <w:rPr>
          <w:lang w:val="en-US"/>
        </w:rPr>
        <w:t xml:space="preserve"> </w:t>
      </w:r>
      <w:hyperlink r:id="rId1" w:history="1">
        <w:r w:rsidRPr="004411EF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826A3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3990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106FB"/>
    <w:rsid w:val="0043297E"/>
    <w:rsid w:val="004411EF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26A3E"/>
    <w:rsid w:val="008306AF"/>
    <w:rsid w:val="008520F9"/>
    <w:rsid w:val="00871582"/>
    <w:rsid w:val="008850EF"/>
    <w:rsid w:val="00906FF7"/>
    <w:rsid w:val="009B6EFD"/>
    <w:rsid w:val="009D3AC4"/>
    <w:rsid w:val="00AE6185"/>
    <w:rsid w:val="00B13218"/>
    <w:rsid w:val="00B622ED"/>
    <w:rsid w:val="00B9584E"/>
    <w:rsid w:val="00BF3990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EF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9B6EFD"/>
    <w:rPr>
      <w:color w:val="0000FF"/>
      <w:u w:val="single"/>
    </w:rPr>
  </w:style>
  <w:style w:type="paragraph" w:styleId="a8">
    <w:name w:val="footnote text"/>
    <w:basedOn w:val="a"/>
    <w:link w:val="a9"/>
    <w:rsid w:val="004411E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411EF"/>
  </w:style>
  <w:style w:type="character" w:styleId="aa">
    <w:name w:val="footnote reference"/>
    <w:basedOn w:val="a0"/>
    <w:rsid w:val="004411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kin85@inbo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rseniy.rigin@mail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ru/FU-Strok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1FD2D-E491-4874-B6DC-9D207BB3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8</TotalTime>
  <Pages>1</Pages>
  <Words>502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UNEXPECTED FEATURES OF SELF-DISCHARGE IGNITION IN CROSSED ELECTRIC AND MAGNETIC FIELDS</dc:title>
  <dc:creator/>
  <cp:lastModifiedBy>Сатунин</cp:lastModifiedBy>
  <cp:revision>3</cp:revision>
  <cp:lastPrinted>1601-01-01T00:00:00Z</cp:lastPrinted>
  <dcterms:created xsi:type="dcterms:W3CDTF">2023-02-20T15:22:00Z</dcterms:created>
  <dcterms:modified xsi:type="dcterms:W3CDTF">2023-05-17T14:19:00Z</dcterms:modified>
</cp:coreProperties>
</file>