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DA" w:rsidRPr="00881A01" w:rsidRDefault="006B6BA5" w:rsidP="00A526DA">
      <w:pPr>
        <w:pStyle w:val="Zv-Titlereport"/>
        <w:rPr>
          <w:lang w:val="en-US"/>
        </w:rPr>
      </w:pPr>
      <w:r w:rsidRPr="006B6BA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B6BA5" w:rsidRPr="00824DF5" w:rsidRDefault="006B6BA5" w:rsidP="003B6459">
                  <w:pPr>
                    <w:spacing w:before="80"/>
                    <w:rPr>
                      <w:sz w:val="22"/>
                      <w:szCs w:val="22"/>
                    </w:rPr>
                  </w:pPr>
                  <w:r w:rsidRPr="00824DF5">
                    <w:rPr>
                      <w:sz w:val="22"/>
                      <w:szCs w:val="22"/>
                    </w:rPr>
                    <w:t xml:space="preserve">DOI: </w:t>
                  </w:r>
                  <w:r w:rsidRPr="006B6BA5">
                    <w:rPr>
                      <w:sz w:val="22"/>
                      <w:szCs w:val="22"/>
                    </w:rPr>
                    <w:t>10.34854/ICPAF.2023.50.2023.1.1.157</w:t>
                  </w:r>
                </w:p>
              </w:txbxContent>
            </v:textbox>
            <w10:anchorlock/>
          </v:shape>
        </w:pict>
      </w:r>
      <w:r w:rsidR="00A526DA" w:rsidRPr="00AE756A">
        <w:rPr>
          <w:lang w:val="en-US"/>
        </w:rPr>
        <w:t>Phytostimulating Activity of Products of Plasma Chemical Treatment of Aqueous Solutions and Chitosan Suspensions</w:t>
      </w:r>
      <w:r>
        <w:rPr>
          <w:lang w:val="en-US"/>
        </w:rPr>
        <w:t xml:space="preserve"> </w:t>
      </w:r>
      <w:r>
        <w:rPr>
          <w:rStyle w:val="ab"/>
          <w:lang w:val="en-US"/>
        </w:rPr>
        <w:footnoteReference w:customMarkFollows="1" w:id="1"/>
        <w:t>*)</w:t>
      </w:r>
    </w:p>
    <w:p w:rsidR="00A526DA" w:rsidRDefault="00A526DA" w:rsidP="00A526DA">
      <w:pPr>
        <w:pStyle w:val="Zv-Author"/>
        <w:rPr>
          <w:lang w:val="en-US"/>
        </w:rPr>
      </w:pPr>
      <w:bookmarkStart w:id="0" w:name="_Hlk118926137"/>
      <w:r w:rsidRPr="00E30FD0">
        <w:rPr>
          <w:vertAlign w:val="superscript"/>
          <w:lang w:val="en-US"/>
        </w:rPr>
        <w:t>1</w:t>
      </w:r>
      <w:r w:rsidRPr="00AE756A">
        <w:rPr>
          <w:u w:val="single"/>
          <w:lang w:val="en-US"/>
        </w:rPr>
        <w:t>Naumova I.K</w:t>
      </w:r>
      <w:r>
        <w:rPr>
          <w:lang w:val="en-US"/>
        </w:rPr>
        <w:t xml:space="preserve">., </w:t>
      </w:r>
      <w:r w:rsidRPr="00AE756A">
        <w:rPr>
          <w:vertAlign w:val="superscript"/>
          <w:lang w:val="en-US"/>
        </w:rPr>
        <w:t>2</w:t>
      </w:r>
      <w:r>
        <w:rPr>
          <w:lang w:val="en-US"/>
        </w:rPr>
        <w:t xml:space="preserve">Titov V.A., </w:t>
      </w:r>
      <w:r w:rsidRPr="00AE756A">
        <w:rPr>
          <w:vertAlign w:val="superscript"/>
          <w:lang w:val="en-US"/>
        </w:rPr>
        <w:t>2</w:t>
      </w:r>
      <w:r>
        <w:rPr>
          <w:lang w:val="en-US"/>
        </w:rPr>
        <w:t xml:space="preserve">Sirotkin N.A., </w:t>
      </w:r>
      <w:bookmarkStart w:id="1" w:name="_Hlk118924341"/>
      <w:r w:rsidRPr="00E30FD0">
        <w:rPr>
          <w:vertAlign w:val="superscript"/>
          <w:lang w:val="en-US"/>
        </w:rPr>
        <w:t>2</w:t>
      </w:r>
      <w:bookmarkEnd w:id="1"/>
      <w:r>
        <w:rPr>
          <w:lang w:val="en-US"/>
        </w:rPr>
        <w:t>Khlyustova A.V.</w:t>
      </w:r>
      <w:bookmarkEnd w:id="0"/>
    </w:p>
    <w:p w:rsidR="00A526DA" w:rsidRDefault="00A526DA" w:rsidP="00A526DA">
      <w:pPr>
        <w:pStyle w:val="Zv-Organization"/>
        <w:rPr>
          <w:lang w:val="en-US"/>
        </w:rPr>
      </w:pPr>
      <w:r w:rsidRPr="00CA5C33">
        <w:rPr>
          <w:vertAlign w:val="superscript"/>
          <w:lang w:val="en-US"/>
        </w:rPr>
        <w:t>1</w:t>
      </w:r>
      <w:r>
        <w:rPr>
          <w:lang w:val="en-US"/>
        </w:rPr>
        <w:t xml:space="preserve">Ivanovo State University, </w:t>
      </w:r>
      <w:r w:rsidRPr="00877D34">
        <w:rPr>
          <w:lang w:val="en-US"/>
        </w:rPr>
        <w:t>Ivanovo, Russia</w:t>
      </w:r>
      <w:r>
        <w:rPr>
          <w:lang w:val="en-US"/>
        </w:rPr>
        <w:t xml:space="preserve">, </w:t>
      </w:r>
      <w:hyperlink r:id="rId8" w:history="1">
        <w:r w:rsidRPr="005F21C0">
          <w:rPr>
            <w:rStyle w:val="a7"/>
            <w:lang w:val="en-US"/>
          </w:rPr>
          <w:t>irinauma@mail.ru</w:t>
        </w:r>
      </w:hyperlink>
      <w:r>
        <w:rPr>
          <w:lang w:val="en-US"/>
        </w:rPr>
        <w:br/>
      </w:r>
      <w:r w:rsidRPr="00CA5C33">
        <w:rPr>
          <w:vertAlign w:val="superscript"/>
          <w:lang w:val="en-US"/>
        </w:rPr>
        <w:t>2</w:t>
      </w:r>
      <w:r>
        <w:rPr>
          <w:lang w:val="en-US"/>
        </w:rPr>
        <w:t xml:space="preserve">G.A. Krestov Institute of the Solution Chemistry RAS, </w:t>
      </w:r>
      <w:bookmarkStart w:id="2" w:name="_Hlk118924567"/>
      <w:r>
        <w:rPr>
          <w:lang w:val="en-US"/>
        </w:rPr>
        <w:t>Ivanovo, Russia</w:t>
      </w:r>
      <w:bookmarkEnd w:id="2"/>
      <w:r>
        <w:rPr>
          <w:lang w:val="en-US"/>
        </w:rPr>
        <w:t xml:space="preserve">, </w:t>
      </w:r>
      <w:hyperlink r:id="rId9" w:history="1">
        <w:r w:rsidRPr="005F21C0">
          <w:rPr>
            <w:rStyle w:val="a7"/>
            <w:lang w:val="en-US"/>
          </w:rPr>
          <w:t>titov25@gmail.com</w:t>
        </w:r>
      </w:hyperlink>
    </w:p>
    <w:p w:rsidR="00A526DA" w:rsidRDefault="00A526DA" w:rsidP="00A526DA">
      <w:pPr>
        <w:pStyle w:val="Zv-bodyreport"/>
        <w:rPr>
          <w:lang w:val="en-US"/>
        </w:rPr>
      </w:pPr>
      <w:r w:rsidRPr="00FF6B34">
        <w:rPr>
          <w:lang w:val="en-US"/>
        </w:rPr>
        <w:t xml:space="preserve">One of the </w:t>
      </w:r>
      <w:r>
        <w:rPr>
          <w:lang w:val="en-US"/>
        </w:rPr>
        <w:t>promising</w:t>
      </w:r>
      <w:r w:rsidRPr="00FF6B34">
        <w:rPr>
          <w:lang w:val="en-US"/>
        </w:rPr>
        <w:t xml:space="preserve"> areas of low-temperature plasma application is associated with its use in agriculture and food production [1]. Treatment in low</w:t>
      </w:r>
      <w:r>
        <w:rPr>
          <w:lang w:val="en-US"/>
        </w:rPr>
        <w:t>-pressure</w:t>
      </w:r>
      <w:r w:rsidRPr="00FF6B34">
        <w:rPr>
          <w:lang w:val="en-US"/>
        </w:rPr>
        <w:t xml:space="preserve"> or atmospheric pressure plasma promotes faster seed germination, increased germination and accelerates plant development. The use of water after gas discharge treatment also leads to similar effects, which is due to the accumulation of nitrogen compounds acting as fertilizers (growth stimulants), as well as hydrogen peroxide, which helps to suppress pathogenic microflora [2]. Plasma is also promising for the production of phyto</w:t>
      </w:r>
      <w:r>
        <w:rPr>
          <w:lang w:val="en-US"/>
        </w:rPr>
        <w:t>-</w:t>
      </w:r>
      <w:r w:rsidRPr="00FF6B34">
        <w:rPr>
          <w:lang w:val="en-US"/>
        </w:rPr>
        <w:t>stimulants from natural raw materials, for example, chitosan.</w:t>
      </w:r>
    </w:p>
    <w:p w:rsidR="00A526DA" w:rsidRDefault="00A526DA" w:rsidP="00A526DA">
      <w:pPr>
        <w:pStyle w:val="Zv-bodyreport"/>
        <w:rPr>
          <w:lang w:val="en-US"/>
        </w:rPr>
      </w:pPr>
      <w:r w:rsidRPr="00792D49">
        <w:rPr>
          <w:lang w:val="en-US"/>
        </w:rPr>
        <w:t xml:space="preserve">This </w:t>
      </w:r>
      <w:r>
        <w:rPr>
          <w:lang w:val="en-US"/>
        </w:rPr>
        <w:t>report</w:t>
      </w:r>
      <w:r w:rsidRPr="00792D49">
        <w:rPr>
          <w:lang w:val="en-US"/>
        </w:rPr>
        <w:t xml:space="preserve"> presents the results of gas-discharge treatment of an aqueous dispersion of chitosan </w:t>
      </w:r>
      <w:r>
        <w:rPr>
          <w:lang w:val="en-US"/>
        </w:rPr>
        <w:t>or</w:t>
      </w:r>
      <w:r w:rsidRPr="00792D49">
        <w:rPr>
          <w:lang w:val="en-US"/>
        </w:rPr>
        <w:t xml:space="preserve"> its solutions in dilute acetic acid to obtain water-soluble fractions. Two types of discharge were used: (1) a direct current discharge in air between a metal anode and a liquid cathode - the treated solution, (2) a discharge in vapor-gas bubbles formed at the end of a graphite electrode immersed in the treated liquid medium</w:t>
      </w:r>
      <w:r w:rsidRPr="00844804">
        <w:rPr>
          <w:lang w:val="en-US"/>
        </w:rPr>
        <w:t xml:space="preserve"> </w:t>
      </w:r>
      <w:r w:rsidRPr="00792D49">
        <w:rPr>
          <w:lang w:val="en-US"/>
        </w:rPr>
        <w:t xml:space="preserve">when current passes through the cell. </w:t>
      </w:r>
      <w:r>
        <w:rPr>
          <w:lang w:val="en-US"/>
        </w:rPr>
        <w:t>S</w:t>
      </w:r>
      <w:r w:rsidRPr="00792D49">
        <w:rPr>
          <w:lang w:val="en-US"/>
        </w:rPr>
        <w:t>chemes</w:t>
      </w:r>
      <w:r>
        <w:rPr>
          <w:lang w:val="en-US"/>
        </w:rPr>
        <w:t xml:space="preserve"> of set-ups</w:t>
      </w:r>
      <w:r w:rsidRPr="00792D49">
        <w:rPr>
          <w:lang w:val="en-US"/>
        </w:rPr>
        <w:t xml:space="preserve">, processing parameters, and procedures for isolating water-soluble chitosan fractions are described in [3]. The products were characterized by </w:t>
      </w:r>
      <w:r w:rsidRPr="00844804">
        <w:rPr>
          <w:vertAlign w:val="superscript"/>
          <w:lang w:val="en-US"/>
        </w:rPr>
        <w:t>1</w:t>
      </w:r>
      <w:r w:rsidRPr="00792D49">
        <w:rPr>
          <w:lang w:val="en-US"/>
        </w:rPr>
        <w:t>H NMR, IR spectroscopy, gel permeation chromatography, and X-ray diffraction.</w:t>
      </w:r>
      <w:r>
        <w:rPr>
          <w:lang w:val="en-US"/>
        </w:rPr>
        <w:t xml:space="preserve"> </w:t>
      </w:r>
    </w:p>
    <w:p w:rsidR="00A526DA" w:rsidRDefault="00A526DA" w:rsidP="00A526DA">
      <w:pPr>
        <w:pStyle w:val="Zv-bodyreport"/>
        <w:rPr>
          <w:lang w:val="en-US"/>
        </w:rPr>
      </w:pPr>
      <w:r w:rsidRPr="00474FFB">
        <w:rPr>
          <w:lang w:val="en-US"/>
        </w:rPr>
        <w:t>The phytostimulating effect of the products was tested on the seeds of flax, pea and spring wheat. The data on seed germination, the rate of development of seedlings and the root system, obtained using water-soluble fractions of chitosan and the commercial phyto</w:t>
      </w:r>
      <w:r>
        <w:rPr>
          <w:lang w:val="en-US"/>
        </w:rPr>
        <w:t>-</w:t>
      </w:r>
      <w:r w:rsidRPr="00474FFB">
        <w:rPr>
          <w:lang w:val="en-US"/>
        </w:rPr>
        <w:t xml:space="preserve">stimulant "Epin-extra", showed that the water-soluble products of plasma-treated chitosan are not inferior to the commercial </w:t>
      </w:r>
      <w:r>
        <w:rPr>
          <w:lang w:val="en-US"/>
        </w:rPr>
        <w:t>product “Epin”</w:t>
      </w:r>
      <w:r w:rsidRPr="00474FFB">
        <w:rPr>
          <w:lang w:val="en-US"/>
        </w:rPr>
        <w:t xml:space="preserve"> in terms of stimulating effect (</w:t>
      </w:r>
      <w:r>
        <w:rPr>
          <w:lang w:val="en-US"/>
        </w:rPr>
        <w:t>T</w:t>
      </w:r>
      <w:r w:rsidRPr="00474FFB">
        <w:rPr>
          <w:lang w:val="en-US"/>
        </w:rPr>
        <w:t>able).</w:t>
      </w:r>
    </w:p>
    <w:p w:rsidR="00A526DA" w:rsidRPr="00F92198" w:rsidRDefault="00A526DA" w:rsidP="00A526DA">
      <w:pPr>
        <w:pStyle w:val="Zv-bodyreport"/>
        <w:spacing w:after="120"/>
        <w:rPr>
          <w:lang w:val="en-US"/>
        </w:rPr>
      </w:pPr>
      <w:r w:rsidRPr="00394AE5">
        <w:rPr>
          <w:lang w:val="en-US"/>
        </w:rPr>
        <w:t>Microbiological tests also showed that the use of water-soluble degradation products of chitosan prevents the developme</w:t>
      </w:r>
      <w:bookmarkStart w:id="3" w:name="_GoBack"/>
      <w:bookmarkEnd w:id="3"/>
      <w:r w:rsidRPr="00394AE5">
        <w:rPr>
          <w:lang w:val="en-US"/>
        </w:rPr>
        <w:t>nt of fungi and bacteria on the surface of seeds.</w:t>
      </w:r>
    </w:p>
    <w:p w:rsidR="00A526DA" w:rsidRPr="00986EFE" w:rsidRDefault="00A526DA" w:rsidP="00A526DA">
      <w:pPr>
        <w:pStyle w:val="Zv-bodyreport"/>
        <w:jc w:val="center"/>
        <w:rPr>
          <w:lang w:val="en-US"/>
        </w:rPr>
      </w:pPr>
      <w:r w:rsidRPr="00986EFE">
        <w:rPr>
          <w:lang w:val="en-US"/>
        </w:rPr>
        <w:t>Seed germination (%) / seedling length (cm)</w:t>
      </w:r>
    </w:p>
    <w:tbl>
      <w:tblPr>
        <w:tblStyle w:val="a8"/>
        <w:tblW w:w="0" w:type="auto"/>
        <w:jc w:val="center"/>
        <w:tblLook w:val="04A0"/>
      </w:tblPr>
      <w:tblGrid>
        <w:gridCol w:w="2660"/>
        <w:gridCol w:w="1984"/>
        <w:gridCol w:w="1701"/>
        <w:gridCol w:w="1701"/>
      </w:tblGrid>
      <w:tr w:rsidR="00A526DA" w:rsidRPr="00986EFE" w:rsidTr="008F3FC9">
        <w:trPr>
          <w:jc w:val="center"/>
        </w:trPr>
        <w:tc>
          <w:tcPr>
            <w:tcW w:w="2660" w:type="dxa"/>
          </w:tcPr>
          <w:p w:rsidR="00A526DA" w:rsidRPr="00986EFE" w:rsidRDefault="00A526DA" w:rsidP="008F3FC9">
            <w:pPr>
              <w:pStyle w:val="Zv-bodyreport"/>
              <w:ind w:firstLine="0"/>
              <w:jc w:val="center"/>
            </w:pPr>
            <w:r>
              <w:rPr>
                <w:lang w:val="en-US"/>
              </w:rPr>
              <w:t>P</w:t>
            </w:r>
            <w:r w:rsidRPr="00FF6B34">
              <w:rPr>
                <w:lang w:val="en-US"/>
              </w:rPr>
              <w:t>hyto</w:t>
            </w:r>
            <w:r>
              <w:rPr>
                <w:lang w:val="en-US"/>
              </w:rPr>
              <w:t>-</w:t>
            </w:r>
            <w:r w:rsidRPr="00FF6B34">
              <w:rPr>
                <w:lang w:val="en-US"/>
              </w:rPr>
              <w:t>stimulant</w:t>
            </w:r>
          </w:p>
        </w:tc>
        <w:tc>
          <w:tcPr>
            <w:tcW w:w="1984" w:type="dxa"/>
          </w:tcPr>
          <w:p w:rsidR="00A526DA" w:rsidRPr="00986EFE" w:rsidRDefault="00A526DA" w:rsidP="008F3FC9">
            <w:pPr>
              <w:pStyle w:val="Zv-bodyreport"/>
              <w:ind w:firstLine="0"/>
              <w:jc w:val="center"/>
            </w:pPr>
            <w:r>
              <w:rPr>
                <w:lang w:val="en-US"/>
              </w:rPr>
              <w:t>F</w:t>
            </w:r>
            <w:r w:rsidRPr="00F27ED9">
              <w:t>lax</w:t>
            </w:r>
          </w:p>
        </w:tc>
        <w:tc>
          <w:tcPr>
            <w:tcW w:w="1701" w:type="dxa"/>
          </w:tcPr>
          <w:p w:rsidR="00A526DA" w:rsidRPr="00F27ED9" w:rsidRDefault="00A526DA" w:rsidP="008F3FC9">
            <w:pPr>
              <w:pStyle w:val="Zv-bodyreport"/>
              <w:ind w:firstLine="0"/>
              <w:jc w:val="center"/>
              <w:rPr>
                <w:lang w:val="en-US"/>
              </w:rPr>
            </w:pPr>
            <w:r>
              <w:rPr>
                <w:lang w:val="en-US"/>
              </w:rPr>
              <w:t>Pea</w:t>
            </w:r>
          </w:p>
        </w:tc>
        <w:tc>
          <w:tcPr>
            <w:tcW w:w="1701" w:type="dxa"/>
          </w:tcPr>
          <w:p w:rsidR="00A526DA" w:rsidRPr="00F27ED9" w:rsidRDefault="00A526DA" w:rsidP="008F3FC9">
            <w:pPr>
              <w:pStyle w:val="Zv-bodyreport"/>
              <w:ind w:firstLine="0"/>
              <w:jc w:val="center"/>
              <w:rPr>
                <w:lang w:val="en-US"/>
              </w:rPr>
            </w:pPr>
            <w:r>
              <w:rPr>
                <w:lang w:val="en-US"/>
              </w:rPr>
              <w:t>Wheat</w:t>
            </w:r>
          </w:p>
        </w:tc>
      </w:tr>
      <w:tr w:rsidR="00A526DA" w:rsidRPr="00986EFE" w:rsidTr="008F3FC9">
        <w:trPr>
          <w:jc w:val="center"/>
        </w:trPr>
        <w:tc>
          <w:tcPr>
            <w:tcW w:w="2660" w:type="dxa"/>
          </w:tcPr>
          <w:p w:rsidR="00A526DA" w:rsidRPr="00590B3D" w:rsidRDefault="00A526DA" w:rsidP="008F3FC9">
            <w:pPr>
              <w:pStyle w:val="Zv-bodyreport"/>
              <w:ind w:firstLine="0"/>
              <w:rPr>
                <w:lang w:val="en-US"/>
              </w:rPr>
            </w:pPr>
            <w:r>
              <w:rPr>
                <w:lang w:val="en-US"/>
              </w:rPr>
              <w:t>Control</w:t>
            </w:r>
            <w:r>
              <w:t xml:space="preserve"> (</w:t>
            </w:r>
            <w:r>
              <w:rPr>
                <w:lang w:val="en-US"/>
              </w:rPr>
              <w:t>tap water)</w:t>
            </w:r>
          </w:p>
        </w:tc>
        <w:tc>
          <w:tcPr>
            <w:tcW w:w="1984" w:type="dxa"/>
          </w:tcPr>
          <w:p w:rsidR="00A526DA" w:rsidRPr="00986EFE" w:rsidRDefault="00A526DA" w:rsidP="008F3FC9">
            <w:pPr>
              <w:pStyle w:val="Zv-bodyreport"/>
              <w:rPr>
                <w:lang w:val="en-US"/>
              </w:rPr>
            </w:pPr>
            <w:r w:rsidRPr="00986EFE">
              <w:t xml:space="preserve">86 </w:t>
            </w:r>
            <w:r w:rsidRPr="00986EFE">
              <w:rPr>
                <w:lang w:val="en-US"/>
              </w:rPr>
              <w:t>/ 2</w:t>
            </w:r>
          </w:p>
        </w:tc>
        <w:tc>
          <w:tcPr>
            <w:tcW w:w="1701" w:type="dxa"/>
          </w:tcPr>
          <w:p w:rsidR="00A526DA" w:rsidRPr="00986EFE" w:rsidRDefault="00A526DA" w:rsidP="008F3FC9">
            <w:pPr>
              <w:pStyle w:val="Zv-bodyreport"/>
              <w:rPr>
                <w:lang w:val="en-US"/>
              </w:rPr>
            </w:pPr>
            <w:r w:rsidRPr="00986EFE">
              <w:t>85</w:t>
            </w:r>
            <w:r w:rsidRPr="00986EFE">
              <w:rPr>
                <w:lang w:val="en-US"/>
              </w:rPr>
              <w:t xml:space="preserve"> / 4</w:t>
            </w:r>
          </w:p>
        </w:tc>
        <w:tc>
          <w:tcPr>
            <w:tcW w:w="1701" w:type="dxa"/>
          </w:tcPr>
          <w:p w:rsidR="00A526DA" w:rsidRPr="00986EFE" w:rsidRDefault="00A526DA" w:rsidP="008F3FC9">
            <w:pPr>
              <w:pStyle w:val="Zv-bodyreport"/>
              <w:rPr>
                <w:lang w:val="en-US"/>
              </w:rPr>
            </w:pPr>
            <w:r w:rsidRPr="00986EFE">
              <w:t>65</w:t>
            </w:r>
            <w:r w:rsidRPr="00986EFE">
              <w:rPr>
                <w:lang w:val="en-US"/>
              </w:rPr>
              <w:t xml:space="preserve"> / 8</w:t>
            </w:r>
          </w:p>
        </w:tc>
      </w:tr>
      <w:tr w:rsidR="00A526DA" w:rsidRPr="00986EFE" w:rsidTr="008F3FC9">
        <w:trPr>
          <w:jc w:val="center"/>
        </w:trPr>
        <w:tc>
          <w:tcPr>
            <w:tcW w:w="2660" w:type="dxa"/>
          </w:tcPr>
          <w:p w:rsidR="00A526DA" w:rsidRPr="00986EFE" w:rsidRDefault="00A526DA" w:rsidP="008F3FC9">
            <w:pPr>
              <w:pStyle w:val="Zv-bodyreport"/>
              <w:ind w:firstLine="0"/>
              <w:rPr>
                <w:lang w:val="en-US"/>
              </w:rPr>
            </w:pPr>
            <w:r>
              <w:rPr>
                <w:lang w:val="en-US"/>
              </w:rPr>
              <w:t>Epin</w:t>
            </w:r>
          </w:p>
        </w:tc>
        <w:tc>
          <w:tcPr>
            <w:tcW w:w="1984" w:type="dxa"/>
          </w:tcPr>
          <w:p w:rsidR="00A526DA" w:rsidRPr="00986EFE" w:rsidRDefault="00A526DA" w:rsidP="008F3FC9">
            <w:pPr>
              <w:pStyle w:val="Zv-bodyreport"/>
              <w:rPr>
                <w:lang w:val="en-US"/>
              </w:rPr>
            </w:pPr>
            <w:r w:rsidRPr="00986EFE">
              <w:t>90</w:t>
            </w:r>
            <w:r w:rsidRPr="00986EFE">
              <w:rPr>
                <w:lang w:val="en-US"/>
              </w:rPr>
              <w:t xml:space="preserve"> / 3</w:t>
            </w:r>
          </w:p>
        </w:tc>
        <w:tc>
          <w:tcPr>
            <w:tcW w:w="1701" w:type="dxa"/>
          </w:tcPr>
          <w:p w:rsidR="00A526DA" w:rsidRPr="00986EFE" w:rsidRDefault="00A526DA" w:rsidP="008F3FC9">
            <w:pPr>
              <w:pStyle w:val="Zv-bodyreport"/>
              <w:rPr>
                <w:lang w:val="en-US"/>
              </w:rPr>
            </w:pPr>
            <w:r w:rsidRPr="00986EFE">
              <w:t>87</w:t>
            </w:r>
            <w:r w:rsidRPr="00986EFE">
              <w:rPr>
                <w:lang w:val="en-US"/>
              </w:rPr>
              <w:t xml:space="preserve"> / 11</w:t>
            </w:r>
          </w:p>
        </w:tc>
        <w:tc>
          <w:tcPr>
            <w:tcW w:w="1701" w:type="dxa"/>
          </w:tcPr>
          <w:p w:rsidR="00A526DA" w:rsidRPr="00986EFE" w:rsidRDefault="00A526DA" w:rsidP="008F3FC9">
            <w:pPr>
              <w:pStyle w:val="Zv-bodyreport"/>
              <w:rPr>
                <w:lang w:val="en-US"/>
              </w:rPr>
            </w:pPr>
            <w:r w:rsidRPr="00986EFE">
              <w:t>91</w:t>
            </w:r>
            <w:r w:rsidRPr="00986EFE">
              <w:rPr>
                <w:lang w:val="en-US"/>
              </w:rPr>
              <w:t xml:space="preserve"> / 11</w:t>
            </w:r>
          </w:p>
        </w:tc>
      </w:tr>
      <w:tr w:rsidR="00A526DA" w:rsidRPr="00986EFE" w:rsidTr="008F3FC9">
        <w:trPr>
          <w:jc w:val="center"/>
        </w:trPr>
        <w:tc>
          <w:tcPr>
            <w:tcW w:w="2660" w:type="dxa"/>
          </w:tcPr>
          <w:p w:rsidR="00A526DA" w:rsidRPr="00986EFE" w:rsidRDefault="00A526DA" w:rsidP="008F3FC9">
            <w:pPr>
              <w:pStyle w:val="Zv-bodyreport"/>
              <w:ind w:firstLine="0"/>
            </w:pPr>
            <w:r w:rsidRPr="00986EFE">
              <w:t>0.2% chitosan solution</w:t>
            </w:r>
          </w:p>
        </w:tc>
        <w:tc>
          <w:tcPr>
            <w:tcW w:w="1984" w:type="dxa"/>
          </w:tcPr>
          <w:p w:rsidR="00A526DA" w:rsidRPr="00986EFE" w:rsidRDefault="00A526DA" w:rsidP="008F3FC9">
            <w:pPr>
              <w:pStyle w:val="Zv-bodyreport"/>
              <w:rPr>
                <w:lang w:val="en-US"/>
              </w:rPr>
            </w:pPr>
            <w:r w:rsidRPr="00986EFE">
              <w:t>93</w:t>
            </w:r>
            <w:r w:rsidRPr="00986EFE">
              <w:rPr>
                <w:lang w:val="en-US"/>
              </w:rPr>
              <w:t xml:space="preserve"> / 4</w:t>
            </w:r>
          </w:p>
        </w:tc>
        <w:tc>
          <w:tcPr>
            <w:tcW w:w="1701" w:type="dxa"/>
          </w:tcPr>
          <w:p w:rsidR="00A526DA" w:rsidRPr="00986EFE" w:rsidRDefault="00A526DA" w:rsidP="008F3FC9">
            <w:pPr>
              <w:pStyle w:val="Zv-bodyreport"/>
              <w:rPr>
                <w:lang w:val="en-US"/>
              </w:rPr>
            </w:pPr>
            <w:r w:rsidRPr="00986EFE">
              <w:t>88</w:t>
            </w:r>
            <w:r w:rsidRPr="00986EFE">
              <w:rPr>
                <w:lang w:val="en-US"/>
              </w:rPr>
              <w:t xml:space="preserve"> / 10</w:t>
            </w:r>
          </w:p>
        </w:tc>
        <w:tc>
          <w:tcPr>
            <w:tcW w:w="1701" w:type="dxa"/>
          </w:tcPr>
          <w:p w:rsidR="00A526DA" w:rsidRPr="00986EFE" w:rsidRDefault="00A526DA" w:rsidP="008F3FC9">
            <w:pPr>
              <w:pStyle w:val="Zv-bodyreport"/>
              <w:rPr>
                <w:lang w:val="en-US"/>
              </w:rPr>
            </w:pPr>
            <w:r w:rsidRPr="00986EFE">
              <w:t>89</w:t>
            </w:r>
            <w:r w:rsidRPr="00986EFE">
              <w:rPr>
                <w:lang w:val="en-US"/>
              </w:rPr>
              <w:t xml:space="preserve"> / 12</w:t>
            </w:r>
          </w:p>
        </w:tc>
      </w:tr>
    </w:tbl>
    <w:p w:rsidR="00A526DA" w:rsidRPr="00A526DA" w:rsidRDefault="00A526DA" w:rsidP="00A526DA">
      <w:pPr>
        <w:pStyle w:val="Zv-bodyreport"/>
        <w:spacing w:before="120"/>
        <w:rPr>
          <w:lang w:val="en-US"/>
        </w:rPr>
      </w:pPr>
      <w:r w:rsidRPr="00A526DA">
        <w:rPr>
          <w:lang w:val="en-US"/>
        </w:rPr>
        <w:t>This work was supported by the Russian Foundation for Basic Research (project no. 20-02-00501 A).</w:t>
      </w:r>
    </w:p>
    <w:p w:rsidR="00A526DA" w:rsidRDefault="00A526DA" w:rsidP="00A526DA">
      <w:pPr>
        <w:pStyle w:val="Zv-TitleReferences-en"/>
        <w:rPr>
          <w:lang w:val="en-US"/>
        </w:rPr>
      </w:pPr>
      <w:r>
        <w:rPr>
          <w:lang w:val="en-US"/>
        </w:rPr>
        <w:t>References</w:t>
      </w:r>
    </w:p>
    <w:p w:rsidR="00A526DA" w:rsidRPr="00A526DA" w:rsidRDefault="00A526DA" w:rsidP="00A526DA">
      <w:pPr>
        <w:pStyle w:val="Zv-References-en"/>
      </w:pPr>
      <w:r w:rsidRPr="00A526DA">
        <w:t>Adamovich I. et al, J. Phys. D: Appl. Phys. 55. 373001 (2022).</w:t>
      </w:r>
    </w:p>
    <w:p w:rsidR="00A526DA" w:rsidRPr="00A526DA" w:rsidRDefault="00A526DA" w:rsidP="00A526DA">
      <w:pPr>
        <w:pStyle w:val="Zv-References-en"/>
      </w:pPr>
      <w:r w:rsidRPr="00A526DA">
        <w:t>Ranieri P. et al, Plasma Process. Polym. 18. e2000162 (2020).</w:t>
      </w:r>
    </w:p>
    <w:p w:rsidR="00A526DA" w:rsidRPr="00A526DA" w:rsidRDefault="00A526DA" w:rsidP="00A526DA">
      <w:pPr>
        <w:pStyle w:val="Zv-References-en"/>
      </w:pPr>
      <w:r w:rsidRPr="00A526DA">
        <w:t xml:space="preserve">Khlyustova A., Sirotkin N., Naumova I., Tarasov A., Titov V., Plasma Chem. Plasma Process. 42. 587–603 (2022).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C0" w:rsidRDefault="00EB25C0">
      <w:r>
        <w:separator/>
      </w:r>
    </w:p>
  </w:endnote>
  <w:endnote w:type="continuationSeparator" w:id="0">
    <w:p w:rsidR="00EB25C0" w:rsidRDefault="00EB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38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438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6BA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C0" w:rsidRDefault="00EB25C0">
      <w:r>
        <w:separator/>
      </w:r>
    </w:p>
  </w:footnote>
  <w:footnote w:type="continuationSeparator" w:id="0">
    <w:p w:rsidR="00EB25C0" w:rsidRDefault="00EB25C0">
      <w:r>
        <w:continuationSeparator/>
      </w:r>
    </w:p>
  </w:footnote>
  <w:footnote w:id="1">
    <w:p w:rsidR="006B6BA5" w:rsidRPr="006B6BA5" w:rsidRDefault="006B6BA5">
      <w:pPr>
        <w:pStyle w:val="a9"/>
        <w:rPr>
          <w:lang w:val="en-US"/>
        </w:rPr>
      </w:pPr>
      <w:r w:rsidRPr="006B6BA5">
        <w:rPr>
          <w:rStyle w:val="ab"/>
          <w:lang w:val="en-US"/>
        </w:rPr>
        <w:t>*)</w:t>
      </w:r>
      <w:r w:rsidRPr="006B6BA5">
        <w:rPr>
          <w:lang w:val="en-US"/>
        </w:rPr>
        <w:t xml:space="preserve"> </w:t>
      </w:r>
      <w:hyperlink r:id="rId1" w:history="1">
        <w:r w:rsidRPr="006B6BA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4387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25C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B6BA5"/>
    <w:rsid w:val="00732A2E"/>
    <w:rsid w:val="007B09C9"/>
    <w:rsid w:val="007B6378"/>
    <w:rsid w:val="007E06CE"/>
    <w:rsid w:val="00802D35"/>
    <w:rsid w:val="008306AF"/>
    <w:rsid w:val="008520F9"/>
    <w:rsid w:val="00871582"/>
    <w:rsid w:val="008850EF"/>
    <w:rsid w:val="00906FF7"/>
    <w:rsid w:val="009D3AC4"/>
    <w:rsid w:val="009D40D4"/>
    <w:rsid w:val="00A526DA"/>
    <w:rsid w:val="00AE6185"/>
    <w:rsid w:val="00B4387F"/>
    <w:rsid w:val="00B622ED"/>
    <w:rsid w:val="00B9584E"/>
    <w:rsid w:val="00C103CD"/>
    <w:rsid w:val="00C232A0"/>
    <w:rsid w:val="00C5751F"/>
    <w:rsid w:val="00D47F19"/>
    <w:rsid w:val="00D75E08"/>
    <w:rsid w:val="00D900FB"/>
    <w:rsid w:val="00D92E54"/>
    <w:rsid w:val="00DC6E63"/>
    <w:rsid w:val="00E118BE"/>
    <w:rsid w:val="00E7021A"/>
    <w:rsid w:val="00E87733"/>
    <w:rsid w:val="00EB25C0"/>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6D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526DA"/>
    <w:rPr>
      <w:color w:val="0000FF" w:themeColor="hyperlink"/>
      <w:u w:val="single"/>
    </w:rPr>
  </w:style>
  <w:style w:type="table" w:styleId="a8">
    <w:name w:val="Table Grid"/>
    <w:basedOn w:val="a1"/>
    <w:rsid w:val="00A52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v-bodyreportChar">
    <w:name w:val="Zv-body_report Char"/>
    <w:link w:val="Zv-bodyreport"/>
    <w:locked/>
    <w:rsid w:val="00A526DA"/>
    <w:rPr>
      <w:sz w:val="24"/>
      <w:szCs w:val="24"/>
    </w:rPr>
  </w:style>
  <w:style w:type="paragraph" w:styleId="a9">
    <w:name w:val="footnote text"/>
    <w:basedOn w:val="a"/>
    <w:link w:val="aa"/>
    <w:rsid w:val="006B6BA5"/>
    <w:rPr>
      <w:sz w:val="20"/>
      <w:szCs w:val="20"/>
    </w:rPr>
  </w:style>
  <w:style w:type="character" w:customStyle="1" w:styleId="aa">
    <w:name w:val="Текст сноски Знак"/>
    <w:basedOn w:val="a0"/>
    <w:link w:val="a9"/>
    <w:rsid w:val="006B6BA5"/>
  </w:style>
  <w:style w:type="character" w:styleId="ab">
    <w:name w:val="footnote reference"/>
    <w:basedOn w:val="a0"/>
    <w:rsid w:val="006B6B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naum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tov25@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E-Naum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1ED3C-BC8A-47D2-B174-46337CDB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433</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PHYTOSTIMULATING ACTIVITY OF PRODUCTS OF PLASMA CHEMICAL TREATMENT OF AQUEOUS SOLUTIONS AND CHITOSAN SUSPENSIONS</dc:title>
  <dc:creator/>
  <cp:lastModifiedBy>Сатунин</cp:lastModifiedBy>
  <cp:revision>2</cp:revision>
  <cp:lastPrinted>1601-01-01T00:00:00Z</cp:lastPrinted>
  <dcterms:created xsi:type="dcterms:W3CDTF">2023-02-16T15:51:00Z</dcterms:created>
  <dcterms:modified xsi:type="dcterms:W3CDTF">2023-05-17T10:33:00Z</dcterms:modified>
</cp:coreProperties>
</file>