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17" w:rsidRPr="00A05F07" w:rsidRDefault="00A05F07" w:rsidP="00464017">
      <w:pPr>
        <w:pStyle w:val="Zv-Titlereport"/>
        <w:rPr>
          <w:lang w:val="en-US"/>
        </w:rPr>
      </w:pPr>
      <w:r w:rsidRPr="00A05F0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05F07" w:rsidRPr="00824DF5" w:rsidRDefault="00A05F07" w:rsidP="003B6459">
                  <w:pPr>
                    <w:spacing w:before="80"/>
                    <w:rPr>
                      <w:sz w:val="22"/>
                      <w:szCs w:val="22"/>
                    </w:rPr>
                  </w:pPr>
                  <w:r w:rsidRPr="00824DF5">
                    <w:rPr>
                      <w:sz w:val="22"/>
                      <w:szCs w:val="22"/>
                    </w:rPr>
                    <w:t xml:space="preserve">DOI: </w:t>
                  </w:r>
                  <w:r w:rsidRPr="00A05F07">
                    <w:rPr>
                      <w:sz w:val="22"/>
                      <w:szCs w:val="22"/>
                    </w:rPr>
                    <w:t>10.34854/ICPAF.2023.50.2023.1.1.132</w:t>
                  </w:r>
                </w:p>
              </w:txbxContent>
            </v:textbox>
            <w10:anchorlock/>
          </v:shape>
        </w:pict>
      </w:r>
      <w:r w:rsidR="00464017">
        <w:rPr>
          <w:lang w:val="en-US"/>
        </w:rPr>
        <w:t>plasma</w:t>
      </w:r>
      <w:r w:rsidR="00464017" w:rsidRPr="00A05F07">
        <w:rPr>
          <w:lang w:val="en-US"/>
        </w:rPr>
        <w:t xml:space="preserve"> </w:t>
      </w:r>
      <w:r w:rsidR="00464017">
        <w:rPr>
          <w:lang w:val="en-US"/>
        </w:rPr>
        <w:t>distribution</w:t>
      </w:r>
      <w:r w:rsidR="00464017" w:rsidRPr="00A05F07">
        <w:rPr>
          <w:lang w:val="en-US"/>
        </w:rPr>
        <w:t xml:space="preserve"> </w:t>
      </w:r>
      <w:r w:rsidR="00464017">
        <w:rPr>
          <w:lang w:val="en-US"/>
        </w:rPr>
        <w:t>in</w:t>
      </w:r>
      <w:r w:rsidR="00464017" w:rsidRPr="00A05F07">
        <w:rPr>
          <w:lang w:val="en-US"/>
        </w:rPr>
        <w:t xml:space="preserve"> </w:t>
      </w:r>
      <w:r w:rsidR="00464017">
        <w:rPr>
          <w:lang w:val="en-US"/>
        </w:rPr>
        <w:t>a</w:t>
      </w:r>
      <w:r w:rsidR="00464017" w:rsidRPr="00A05F07">
        <w:rPr>
          <w:lang w:val="en-US"/>
        </w:rPr>
        <w:t xml:space="preserve"> </w:t>
      </w:r>
      <w:r w:rsidR="00464017">
        <w:rPr>
          <w:lang w:val="en-US"/>
        </w:rPr>
        <w:t>microwave disharge column sustained by a standing surface wave</w:t>
      </w:r>
      <w:r w:rsidRPr="00A05F07">
        <w:rPr>
          <w:lang w:val="en-US"/>
        </w:rPr>
        <w:t xml:space="preserve"> </w:t>
      </w:r>
      <w:r>
        <w:rPr>
          <w:rStyle w:val="aa"/>
          <w:lang w:val="en-US"/>
        </w:rPr>
        <w:footnoteReference w:customMarkFollows="1" w:id="1"/>
        <w:t>*)</w:t>
      </w:r>
    </w:p>
    <w:p w:rsidR="00464017" w:rsidRPr="00A05F07" w:rsidRDefault="00464017" w:rsidP="00464017">
      <w:pPr>
        <w:pStyle w:val="Zv-Author"/>
      </w:pPr>
      <w:r>
        <w:rPr>
          <w:lang w:val="en-US"/>
        </w:rPr>
        <w:t>Zhukov</w:t>
      </w:r>
      <w:r w:rsidRPr="00A05F07">
        <w:t xml:space="preserve"> </w:t>
      </w:r>
      <w:r>
        <w:rPr>
          <w:lang w:val="en-US"/>
        </w:rPr>
        <w:t>V</w:t>
      </w:r>
      <w:r w:rsidRPr="00A05F07">
        <w:t>.</w:t>
      </w:r>
      <w:r>
        <w:rPr>
          <w:lang w:val="en-US"/>
        </w:rPr>
        <w:t>I</w:t>
      </w:r>
      <w:r w:rsidRPr="00A05F07">
        <w:t xml:space="preserve">., </w:t>
      </w:r>
      <w:r>
        <w:rPr>
          <w:lang w:val="en-US"/>
        </w:rPr>
        <w:t>Karfidov</w:t>
      </w:r>
      <w:r w:rsidRPr="00A05F07">
        <w:t xml:space="preserve"> </w:t>
      </w:r>
      <w:r>
        <w:rPr>
          <w:lang w:val="en-US"/>
        </w:rPr>
        <w:t>D</w:t>
      </w:r>
      <w:r w:rsidRPr="00A05F07">
        <w:t>.</w:t>
      </w:r>
      <w:r>
        <w:rPr>
          <w:lang w:val="en-US"/>
        </w:rPr>
        <w:t>M</w:t>
      </w:r>
      <w:r w:rsidRPr="00A05F07">
        <w:t>.</w:t>
      </w:r>
    </w:p>
    <w:p w:rsidR="00464017" w:rsidRDefault="00464017" w:rsidP="00464017">
      <w:pPr>
        <w:pStyle w:val="Zv-Organization"/>
        <w:rPr>
          <w:lang w:val="en-US"/>
        </w:rPr>
      </w:pPr>
      <w:r w:rsidRPr="00B016C1">
        <w:rPr>
          <w:lang w:val="en-US"/>
        </w:rPr>
        <w:t xml:space="preserve">Prokhorov General Physics Institute of the Russian Academy of Science, </w:t>
      </w:r>
      <w:hyperlink r:id="rId8" w:history="1">
        <w:r w:rsidRPr="002C4F53">
          <w:rPr>
            <w:rStyle w:val="a7"/>
            <w:lang w:val="en-US"/>
          </w:rPr>
          <w:t>zhukov.vsevolod@physics.msu.ru</w:t>
        </w:r>
      </w:hyperlink>
    </w:p>
    <w:p w:rsidR="00464017" w:rsidRPr="003C7AF8" w:rsidRDefault="00464017" w:rsidP="00464017">
      <w:pPr>
        <w:pStyle w:val="Zv-bodyreport"/>
        <w:rPr>
          <w:lang w:val="en-US"/>
        </w:rPr>
      </w:pPr>
      <w:r>
        <w:rPr>
          <w:lang w:val="en-US"/>
        </w:rPr>
        <w:t>A standing surface</w:t>
      </w:r>
      <w:r w:rsidRPr="001B577F">
        <w:rPr>
          <w:lang w:val="en-US"/>
        </w:rPr>
        <w:t xml:space="preserve"> </w:t>
      </w:r>
      <w:r>
        <w:rPr>
          <w:lang w:val="en-US"/>
        </w:rPr>
        <w:t>electromagnetic wave (SEW) in a</w:t>
      </w:r>
      <w:r w:rsidRPr="00B016C1">
        <w:rPr>
          <w:lang w:val="en-US"/>
        </w:rPr>
        <w:t xml:space="preserve"> m = 0 mode</w:t>
      </w:r>
      <w:r>
        <w:rPr>
          <w:lang w:val="en-US"/>
        </w:rPr>
        <w:t xml:space="preserve"> [1]</w:t>
      </w:r>
      <w:r w:rsidRPr="00B016C1">
        <w:rPr>
          <w:lang w:val="en-US"/>
        </w:rPr>
        <w:t xml:space="preserve"> is excited on the plasma column of a microwave discharge between two metal mirrors. A distinctive feature of this experiment is the self-consistent mode: a standing surface wave is excited, which itself creates and maintains the plasma. </w:t>
      </w:r>
      <w:r>
        <w:rPr>
          <w:lang w:val="en-US"/>
        </w:rPr>
        <w:t>Surface-wave-sustained discharge</w:t>
      </w:r>
      <w:r w:rsidRPr="00B016C1">
        <w:rPr>
          <w:lang w:val="en-US"/>
        </w:rPr>
        <w:t xml:space="preserve"> was initiated in a long quartz tube (</w:t>
      </w:r>
      <m:oMath>
        <m:sSub>
          <m:sSubPr>
            <m:ctrlPr>
              <w:rPr>
                <w:rFonts w:ascii="Cambria Math" w:hAnsi="Cambria Math"/>
                <w:i/>
                <w:lang w:val="en-US"/>
              </w:rPr>
            </m:ctrlPr>
          </m:sSubPr>
          <m:e>
            <m:r>
              <w:rPr>
                <w:rFonts w:ascii="Cambria Math" w:hAnsi="Cambria Math"/>
                <w:lang w:val="en-US"/>
              </w:rPr>
              <m:t>&gt;10λ</m:t>
            </m:r>
          </m:e>
          <m:sub>
            <m:r>
              <w:rPr>
                <w:rFonts w:ascii="Cambria Math" w:hAnsi="Cambria Math"/>
                <w:lang w:val="en-US"/>
              </w:rPr>
              <m:t>0</m:t>
            </m:r>
          </m:sub>
        </m:sSub>
      </m:oMath>
      <w:r w:rsidRPr="00B016C1">
        <w:rPr>
          <w:lang w:val="en-US"/>
        </w:rPr>
        <w:t xml:space="preserve">) by a </w:t>
      </w:r>
      <w:r>
        <w:rPr>
          <w:lang w:val="en-US"/>
        </w:rPr>
        <w:t>surfa</w:t>
      </w:r>
      <w:r w:rsidRPr="00B016C1">
        <w:rPr>
          <w:lang w:val="en-US"/>
        </w:rPr>
        <w:t>guide applicator [</w:t>
      </w:r>
      <w:r>
        <w:rPr>
          <w:lang w:val="en-US"/>
        </w:rPr>
        <w:t>2</w:t>
      </w:r>
      <w:r w:rsidRPr="00B016C1">
        <w:rPr>
          <w:lang w:val="en-US"/>
        </w:rPr>
        <w:t>] with a power of 800 W, generating single rectangular pulses up to 50 ms at a frequency of 2.45 GHz.</w:t>
      </w:r>
      <w:r w:rsidRPr="001A6178">
        <w:rPr>
          <w:lang w:val="en-US"/>
        </w:rPr>
        <w:t xml:space="preserve"> The measurements were carried out in argon in the pressure range from 0.02 Torr to 7 Torr. In this work, the discharge parameters, such as the plasma density profile and the characteristics of the electric field of the surface wave, are measured for the case of a free discharge and for a discharge between mirrors supported by a standing wave.</w:t>
      </w:r>
    </w:p>
    <w:p w:rsidR="00464017" w:rsidRPr="003C7AF8" w:rsidRDefault="00464017" w:rsidP="00464017">
      <w:pPr>
        <w:pStyle w:val="Zv-bodyreport"/>
        <w:rPr>
          <w:rStyle w:val="rynqvb"/>
          <w:lang w:val="en-US"/>
        </w:rPr>
      </w:pPr>
      <w:r>
        <w:rPr>
          <w:rStyle w:val="rynqvb"/>
          <w:lang w:val="en-US"/>
        </w:rPr>
        <w:t>Standing</w:t>
      </w:r>
      <w:r w:rsidRPr="001A6178">
        <w:rPr>
          <w:rStyle w:val="rynqvb"/>
          <w:lang w:val="en-US"/>
        </w:rPr>
        <w:t xml:space="preserve"> </w:t>
      </w:r>
      <w:r w:rsidRPr="00A05F07">
        <w:rPr>
          <w:rStyle w:val="rynqvb"/>
          <w:lang w:val="en-US"/>
        </w:rPr>
        <w:t>wave excitation on a plasma column leads to the formation of local minima and maxima of the plasma density</w:t>
      </w:r>
      <w:r w:rsidRPr="001A6178">
        <w:rPr>
          <w:rStyle w:val="rynqvb"/>
          <w:lang w:val="en-US"/>
        </w:rPr>
        <w:t>.</w:t>
      </w:r>
      <w:r>
        <w:rPr>
          <w:rStyle w:val="rynqvb"/>
          <w:lang w:val="en-US"/>
        </w:rPr>
        <w:t xml:space="preserve"> Period</w:t>
      </w:r>
      <w:r w:rsidRPr="00A05F07">
        <w:rPr>
          <w:rStyle w:val="rynqvb"/>
          <w:lang w:val="en-US"/>
        </w:rPr>
        <w:t xml:space="preserve"> of this modulation is equal to half the length of the surface wave.</w:t>
      </w:r>
      <w:r w:rsidRPr="00A05F07">
        <w:rPr>
          <w:rStyle w:val="hwtze"/>
          <w:lang w:val="en-US"/>
        </w:rPr>
        <w:t xml:space="preserve"> </w:t>
      </w:r>
      <w:r w:rsidRPr="00A05F07">
        <w:rPr>
          <w:rStyle w:val="rynqvb"/>
          <w:lang w:val="en-US"/>
        </w:rPr>
        <w:t>It has been found that the formation time of the modulated structure is close to the characteristic diffusion time, and the degree of modulation increases with pressure.</w:t>
      </w:r>
      <w:r w:rsidRPr="00A05F07">
        <w:rPr>
          <w:rStyle w:val="hwtze"/>
          <w:lang w:val="en-US"/>
        </w:rPr>
        <w:t xml:space="preserve"> </w:t>
      </w:r>
      <w:r w:rsidRPr="00A05F07">
        <w:rPr>
          <w:rStyle w:val="rynqvb"/>
          <w:lang w:val="en-US"/>
        </w:rPr>
        <w:t xml:space="preserve">The possibility of creating a plasma column with plasma density modulation </w:t>
      </w:r>
      <m:oMath>
        <m:sSub>
          <m:sSubPr>
            <m:ctrlPr>
              <w:rPr>
                <w:rFonts w:ascii="Cambria Math" w:hAnsi="Cambria Math"/>
                <w:i/>
              </w:rPr>
            </m:ctrlPr>
          </m:sSubPr>
          <m:e>
            <m:r>
              <w:rPr>
                <w:rFonts w:ascii="Cambria Math" w:hAnsi="Cambria Math"/>
              </w:rPr>
              <m:t>n</m:t>
            </m:r>
          </m:e>
          <m:sub>
            <m:r>
              <w:rPr>
                <w:rFonts w:ascii="Cambria Math" w:hAnsi="Cambria Math"/>
              </w:rPr>
              <m:t>max</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lang w:val="en-US"/>
          </w:rPr>
          <m:t>≈5</m:t>
        </m:r>
      </m:oMath>
      <w:r w:rsidRPr="00A05F07">
        <w:rPr>
          <w:rStyle w:val="rynqvb"/>
          <w:lang w:val="en-US"/>
        </w:rPr>
        <w:t xml:space="preserve"> and a length of about 10 wavelengths is demonstrated</w:t>
      </w:r>
      <w:r w:rsidRPr="00C54C19">
        <w:rPr>
          <w:rStyle w:val="rynqvb"/>
          <w:lang w:val="en-US"/>
        </w:rPr>
        <w:t xml:space="preserve"> </w:t>
      </w:r>
      <w:r>
        <w:rPr>
          <w:rStyle w:val="rynqvb"/>
          <w:lang w:val="en-US"/>
        </w:rPr>
        <w:t>experimentally</w:t>
      </w:r>
      <w:r w:rsidRPr="00A05F07">
        <w:rPr>
          <w:rStyle w:val="rynqvb"/>
          <w:lang w:val="en-US"/>
        </w:rPr>
        <w:t>.</w:t>
      </w:r>
    </w:p>
    <w:p w:rsidR="00464017" w:rsidRPr="00467B40" w:rsidRDefault="00464017" w:rsidP="00464017">
      <w:pPr>
        <w:pStyle w:val="Zv-bodyreport"/>
        <w:rPr>
          <w:rStyle w:val="rynqvb"/>
          <w:lang w:val="en-US"/>
        </w:rPr>
      </w:pPr>
      <w:r w:rsidRPr="00A05F07">
        <w:rPr>
          <w:rStyle w:val="rynqvb"/>
          <w:lang w:val="en-US"/>
        </w:rPr>
        <w:t xml:space="preserve">To study the standing surface wave electromagnetic field features, a numerical model was created in the CST Microwave Studio program with predetermined values of the plasma density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Pr="00A05F07">
        <w:rPr>
          <w:rStyle w:val="rynqvb"/>
          <w:lang w:val="en-US"/>
        </w:rPr>
        <w:t xml:space="preserve"> and the electron-neutral collision rate </w:t>
      </w:r>
      <m:oMath>
        <m:sSub>
          <m:sSubPr>
            <m:ctrlPr>
              <w:rPr>
                <w:rFonts w:ascii="Cambria Math" w:hAnsi="Cambria Math"/>
                <w:i/>
              </w:rPr>
            </m:ctrlPr>
          </m:sSubPr>
          <m:e>
            <m:r>
              <w:rPr>
                <w:rFonts w:ascii="Cambria Math" w:hAnsi="Cambria Math"/>
              </w:rPr>
              <m:t>ν</m:t>
            </m:r>
          </m:e>
          <m:sub>
            <m:r>
              <w:rPr>
                <w:rFonts w:ascii="Cambria Math" w:hAnsi="Cambria Math"/>
              </w:rPr>
              <m:t>n</m:t>
            </m:r>
          </m:sub>
        </m:sSub>
      </m:oMath>
      <w:r w:rsidRPr="00A05F07">
        <w:rPr>
          <w:rStyle w:val="rynqvb"/>
          <w:lang w:val="en-US"/>
        </w:rPr>
        <w:t>.</w:t>
      </w:r>
      <w:r w:rsidRPr="00A05F07">
        <w:rPr>
          <w:rStyle w:val="hwtze"/>
          <w:lang w:val="en-US"/>
        </w:rPr>
        <w:t xml:space="preserve"> </w:t>
      </w:r>
      <w:r w:rsidRPr="00A05F07">
        <w:rPr>
          <w:rStyle w:val="rynqvb"/>
          <w:lang w:val="en-US"/>
        </w:rPr>
        <w:t xml:space="preserve">The experiment and numerical simulation demonstrate that the longitudinal </w:t>
      </w:r>
      <w:r w:rsidRPr="00A05F07">
        <w:rPr>
          <w:rStyle w:val="rynqvb"/>
          <w:i/>
          <w:lang w:val="en-US"/>
        </w:rPr>
        <w:t>E</w:t>
      </w:r>
      <w:r w:rsidRPr="00A05F07">
        <w:rPr>
          <w:rStyle w:val="rynqvb"/>
          <w:vertAlign w:val="subscript"/>
          <w:lang w:val="en-US"/>
        </w:rPr>
        <w:t>z</w:t>
      </w:r>
      <w:r w:rsidRPr="00A05F07">
        <w:rPr>
          <w:rStyle w:val="rynqvb"/>
          <w:lang w:val="en-US"/>
        </w:rPr>
        <w:t xml:space="preserve"> and radial </w:t>
      </w:r>
      <w:r w:rsidRPr="00A05F07">
        <w:rPr>
          <w:rStyle w:val="rynqvb"/>
          <w:i/>
          <w:lang w:val="en-US"/>
        </w:rPr>
        <w:t>E</w:t>
      </w:r>
      <w:r w:rsidRPr="00A05F07">
        <w:rPr>
          <w:rStyle w:val="rynqvb"/>
          <w:vertAlign w:val="subscript"/>
          <w:lang w:val="en-US"/>
        </w:rPr>
        <w:t>r</w:t>
      </w:r>
      <w:r w:rsidRPr="00A05F07">
        <w:rPr>
          <w:rStyle w:val="rynqvb"/>
          <w:lang w:val="en-US"/>
        </w:rPr>
        <w:t xml:space="preserve"> components are phase-shifted relative to each other by </w:t>
      </w:r>
      <m:oMath>
        <m:r>
          <w:rPr>
            <w:rFonts w:ascii="Cambria Math" w:hAnsi="Cambria Math"/>
            <w:lang w:val="en-US"/>
          </w:rPr>
          <m:t>π/2</m:t>
        </m:r>
      </m:oMath>
      <w:r w:rsidRPr="00A05F07">
        <w:rPr>
          <w:rStyle w:val="rynqvb"/>
          <w:lang w:val="en-US"/>
        </w:rPr>
        <w:t xml:space="preserve">. Thus, the </w:t>
      </w:r>
      <w:r w:rsidRPr="00A05F07">
        <w:rPr>
          <w:rStyle w:val="rynqvb"/>
          <w:i/>
          <w:lang w:val="en-US"/>
        </w:rPr>
        <w:t>E</w:t>
      </w:r>
      <w:r w:rsidRPr="00A05F07">
        <w:rPr>
          <w:rStyle w:val="rynqvb"/>
          <w:vertAlign w:val="subscript"/>
          <w:lang w:val="en-US"/>
        </w:rPr>
        <w:t>z</w:t>
      </w:r>
      <w:r w:rsidRPr="00A05F07">
        <w:rPr>
          <w:rStyle w:val="rynqvb"/>
          <w:lang w:val="en-US"/>
        </w:rPr>
        <w:t xml:space="preserve"> is the main contributor to sustain the plasma, which determines the density distribution. Based on the measured electron concentrations, the simulation makes it possible to estimate the SEW field ratio between the parts of the energy in vacuum </w:t>
      </w:r>
      <w:r w:rsidRPr="00A05F07">
        <w:rPr>
          <w:rStyle w:val="rynqvb"/>
          <w:i/>
          <w:lang w:val="en-US"/>
        </w:rPr>
        <w:t>W</w:t>
      </w:r>
      <w:r w:rsidRPr="00A05F07">
        <w:rPr>
          <w:rStyle w:val="rynqvb"/>
          <w:vertAlign w:val="subscript"/>
          <w:lang w:val="en-US"/>
        </w:rPr>
        <w:t>vac</w:t>
      </w:r>
      <w:r w:rsidRPr="00A05F07">
        <w:rPr>
          <w:rStyle w:val="rynqvb"/>
          <w:lang w:val="en-US"/>
        </w:rPr>
        <w:t xml:space="preserve"> and inside the plasma </w:t>
      </w:r>
      <w:r w:rsidRPr="00A05F07">
        <w:rPr>
          <w:rStyle w:val="rynqvb"/>
          <w:i/>
          <w:lang w:val="en-US"/>
        </w:rPr>
        <w:t>W</w:t>
      </w:r>
      <w:r w:rsidRPr="00A05F07">
        <w:rPr>
          <w:rStyle w:val="rynqvb"/>
          <w:vertAlign w:val="subscript"/>
          <w:lang w:val="en-US"/>
        </w:rPr>
        <w:t>pl</w:t>
      </w:r>
      <w:r w:rsidRPr="00A05F07">
        <w:rPr>
          <w:rStyle w:val="rynqvb"/>
          <w:lang w:val="en-US"/>
        </w:rPr>
        <w:t xml:space="preserve">. So, in the tail part of the discharge, where the electron concentration tends to </w:t>
      </w: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lang w:val="en-US"/>
          </w:rPr>
          <m:t>=4⋅</m:t>
        </m:r>
        <m:sSup>
          <m:sSupPr>
            <m:ctrlPr>
              <w:rPr>
                <w:rFonts w:ascii="Cambria Math" w:hAnsi="Cambria Math"/>
                <w:i/>
              </w:rPr>
            </m:ctrlPr>
          </m:sSupPr>
          <m:e>
            <m:r>
              <w:rPr>
                <w:rFonts w:ascii="Cambria Math" w:hAnsi="Cambria Math"/>
                <w:lang w:val="en-US"/>
              </w:rPr>
              <m:t>10</m:t>
            </m:r>
          </m:e>
          <m:sup>
            <m:r>
              <w:rPr>
                <w:rFonts w:ascii="Cambria Math" w:hAnsi="Cambria Math"/>
                <w:lang w:val="en-US"/>
              </w:rPr>
              <m:t>13</m:t>
            </m:r>
          </m:sup>
        </m:sSup>
        <m:r>
          <w:rPr>
            <w:rFonts w:ascii="Cambria Math" w:hAnsi="Cambria Math"/>
            <w:lang w:val="en-US"/>
          </w:rPr>
          <m:t xml:space="preserve"> </m:t>
        </m:r>
        <m:sSup>
          <m:sSupPr>
            <m:ctrlPr>
              <w:rPr>
                <w:rFonts w:ascii="Cambria Math" w:hAnsi="Cambria Math"/>
                <w:i/>
              </w:rPr>
            </m:ctrlPr>
          </m:sSupPr>
          <m:e>
            <m:r>
              <w:rPr>
                <w:rFonts w:ascii="Cambria Math" w:hAnsi="Cambria Math"/>
              </w:rPr>
              <m:t>см</m:t>
            </m:r>
          </m:e>
          <m:sup>
            <m:r>
              <w:rPr>
                <w:rFonts w:ascii="Cambria Math" w:hAnsi="Cambria Math"/>
                <w:lang w:val="en-US"/>
              </w:rPr>
              <m:t>-3</m:t>
            </m:r>
          </m:sup>
        </m:sSup>
      </m:oMath>
      <w:r w:rsidRPr="00A05F07">
        <w:rPr>
          <w:rStyle w:val="rynqvb"/>
          <w:lang w:val="en-US"/>
        </w:rPr>
        <w:t xml:space="preserve"> (where</w:t>
      </w:r>
      <m:oMath>
        <m:r>
          <w:rPr>
            <w:rStyle w:val="rynqvb"/>
            <w:rFonts w:ascii="Cambria Math" w:hAnsi="Cambria Math"/>
            <w:lang w:val="en-US"/>
          </w:rPr>
          <m:t xml:space="preserve"> </m:t>
        </m:r>
        <m:sSub>
          <m:sSubPr>
            <m:ctrlPr>
              <w:rPr>
                <w:rFonts w:ascii="Cambria Math" w:hAnsi="Cambria Math"/>
                <w:i/>
              </w:rPr>
            </m:ctrlPr>
          </m:sSubPr>
          <m:e>
            <m:r>
              <w:rPr>
                <w:rFonts w:ascii="Cambria Math" w:hAnsi="Cambria Math"/>
              </w:rPr>
              <m:t>n</m:t>
            </m:r>
          </m:e>
          <m:sub>
            <m:r>
              <w:rPr>
                <w:rFonts w:ascii="Cambria Math" w:hAnsi="Cambria Math"/>
              </w:rPr>
              <m:t>min</m:t>
            </m:r>
          </m:sub>
        </m:sSub>
      </m:oMath>
      <w:r>
        <w:rPr>
          <w:lang w:val="en-US"/>
        </w:rPr>
        <w:t xml:space="preserve"> is </w:t>
      </w:r>
      <w:r w:rsidRPr="00A05F07">
        <w:rPr>
          <w:rStyle w:val="rynqvb"/>
          <w:lang w:val="en-US"/>
        </w:rPr>
        <w:t xml:space="preserve">the critical concentration for SEW propagation), the ratio </w:t>
      </w:r>
      <w:r w:rsidRPr="00A05F07">
        <w:rPr>
          <w:rStyle w:val="rynqvb"/>
          <w:i/>
          <w:lang w:val="en-US"/>
        </w:rPr>
        <w:t>W</w:t>
      </w:r>
      <w:r w:rsidRPr="00A05F07">
        <w:rPr>
          <w:rStyle w:val="rynqvb"/>
          <w:vertAlign w:val="subscript"/>
          <w:lang w:val="en-US"/>
        </w:rPr>
        <w:t>pl</w:t>
      </w:r>
      <w:r w:rsidRPr="00A05F07">
        <w:rPr>
          <w:rStyle w:val="rynqvb"/>
          <w:lang w:val="en-US"/>
        </w:rPr>
        <w:t>/</w:t>
      </w:r>
      <w:r w:rsidRPr="00A05F07">
        <w:rPr>
          <w:rStyle w:val="rynqvb"/>
          <w:i/>
          <w:lang w:val="en-US"/>
        </w:rPr>
        <w:t>W</w:t>
      </w:r>
      <w:r w:rsidRPr="00A05F07">
        <w:rPr>
          <w:rStyle w:val="rynqvb"/>
          <w:vertAlign w:val="subscript"/>
          <w:lang w:val="en-US"/>
        </w:rPr>
        <w:t>vac</w:t>
      </w:r>
      <w:r w:rsidRPr="00A05F07">
        <w:rPr>
          <w:rStyle w:val="rynqvb"/>
          <w:lang w:val="en-US"/>
        </w:rPr>
        <w:t xml:space="preserve"> tends to unity.</w:t>
      </w:r>
      <w:r w:rsidRPr="00A87709">
        <w:rPr>
          <w:rStyle w:val="rynqvb"/>
          <w:lang w:val="en-US"/>
        </w:rPr>
        <w:t xml:space="preserve"> At the maximum plasma density achieved in the experiment, </w:t>
      </w:r>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=4⋅</m:t>
        </m:r>
        <m:sSup>
          <m:sSupPr>
            <m:ctrlPr>
              <w:rPr>
                <w:rFonts w:ascii="Cambria Math" w:hAnsi="Cambria Math"/>
                <w:i/>
              </w:rPr>
            </m:ctrlPr>
          </m:sSupPr>
          <m:e>
            <m:r>
              <w:rPr>
                <w:rFonts w:ascii="Cambria Math" w:hAnsi="Cambria Math"/>
                <w:lang w:val="en-US"/>
              </w:rPr>
              <m:t>10</m:t>
            </m:r>
          </m:e>
          <m:sup>
            <m:r>
              <w:rPr>
                <w:rFonts w:ascii="Cambria Math" w:hAnsi="Cambria Math"/>
                <w:lang w:val="en-US"/>
              </w:rPr>
              <m:t>13</m:t>
            </m:r>
          </m:sup>
        </m:sSup>
        <m:r>
          <w:rPr>
            <w:rFonts w:ascii="Cambria Math" w:hAnsi="Cambria Math"/>
            <w:lang w:val="en-US"/>
          </w:rPr>
          <m:t xml:space="preserve"> </m:t>
        </m:r>
        <m:sSup>
          <m:sSupPr>
            <m:ctrlPr>
              <w:rPr>
                <w:rFonts w:ascii="Cambria Math" w:hAnsi="Cambria Math"/>
                <w:i/>
              </w:rPr>
            </m:ctrlPr>
          </m:sSupPr>
          <m:e>
            <m:r>
              <w:rPr>
                <w:rFonts w:ascii="Cambria Math" w:hAnsi="Cambria Math"/>
              </w:rPr>
              <m:t>см</m:t>
            </m:r>
          </m:e>
          <m:sup>
            <m:r>
              <w:rPr>
                <w:rFonts w:ascii="Cambria Math" w:hAnsi="Cambria Math"/>
                <w:lang w:val="en-US"/>
              </w:rPr>
              <m:t>-3</m:t>
            </m:r>
          </m:sup>
        </m:sSup>
      </m:oMath>
      <w:r w:rsidRPr="00A87709">
        <w:rPr>
          <w:rStyle w:val="rynqvb"/>
          <w:lang w:val="en-US"/>
        </w:rPr>
        <w:t xml:space="preserve">, the ratio </w:t>
      </w:r>
      <w:r w:rsidRPr="00107BE0">
        <w:rPr>
          <w:rStyle w:val="rynqvb"/>
          <w:i/>
          <w:lang w:val="en-US"/>
        </w:rPr>
        <w:t>W</w:t>
      </w:r>
      <w:r w:rsidRPr="00107BE0">
        <w:rPr>
          <w:rStyle w:val="rynqvb"/>
          <w:vertAlign w:val="subscript"/>
          <w:lang w:val="en-US"/>
        </w:rPr>
        <w:t>pl</w:t>
      </w:r>
      <w:r w:rsidRPr="00A87709">
        <w:rPr>
          <w:rStyle w:val="rynqvb"/>
          <w:lang w:val="en-US"/>
        </w:rPr>
        <w:t>/</w:t>
      </w:r>
      <w:r w:rsidRPr="00107BE0">
        <w:rPr>
          <w:rStyle w:val="rynqvb"/>
          <w:i/>
          <w:lang w:val="en-US"/>
        </w:rPr>
        <w:t>W</w:t>
      </w:r>
      <w:r w:rsidRPr="00107BE0">
        <w:rPr>
          <w:rStyle w:val="rynqvb"/>
          <w:vertAlign w:val="subscript"/>
          <w:lang w:val="en-US"/>
        </w:rPr>
        <w:t>vac</w:t>
      </w:r>
      <w:r w:rsidRPr="00A87709">
        <w:rPr>
          <w:rStyle w:val="rynqvb"/>
          <w:lang w:val="en-US"/>
        </w:rPr>
        <w:t xml:space="preserve"> ≈ 0.02, i.e. the vast majority of the SEW field energy does not penetrate into the plasma. In this case, the radial density profile of the plasma column is strongly inhomogeneous with a maximum electron concentration near the wall.</w:t>
      </w:r>
    </w:p>
    <w:p w:rsidR="00464017" w:rsidRDefault="00464017" w:rsidP="00464017">
      <w:pPr>
        <w:pStyle w:val="Zv-bodyreport"/>
        <w:spacing w:before="120"/>
        <w:rPr>
          <w:lang w:val="en-US"/>
        </w:rPr>
      </w:pPr>
      <w:r w:rsidRPr="000B1EE2">
        <w:rPr>
          <w:lang w:val="en-US"/>
        </w:rPr>
        <w:t>Acknowledgments: The reported study was funded by RFBR, project number 20-32-90162</w:t>
      </w:r>
      <w:r>
        <w:rPr>
          <w:lang w:val="en-US"/>
        </w:rPr>
        <w:t>.</w:t>
      </w:r>
    </w:p>
    <w:p w:rsidR="00464017" w:rsidRDefault="00464017" w:rsidP="00464017">
      <w:pPr>
        <w:pStyle w:val="Zv-TitleReferences-en"/>
        <w:rPr>
          <w:lang w:val="en-US"/>
        </w:rPr>
      </w:pPr>
      <w:r>
        <w:rPr>
          <w:lang w:val="en-US"/>
        </w:rPr>
        <w:t>References</w:t>
      </w:r>
    </w:p>
    <w:p w:rsidR="00464017" w:rsidRPr="00464017" w:rsidRDefault="00464017" w:rsidP="00464017">
      <w:pPr>
        <w:pStyle w:val="Zv-References-en"/>
      </w:pPr>
      <w:r w:rsidRPr="00464017">
        <w:t>Trivelpiece A.W. Slow wave propagation in plasma waveguides, the DP-degree Thesis, California Institute of Technology, Pasadena, 1958.Dsd</w:t>
      </w:r>
    </w:p>
    <w:p w:rsidR="00464017" w:rsidRPr="00464017" w:rsidRDefault="00464017" w:rsidP="00464017">
      <w:pPr>
        <w:pStyle w:val="Zv-References-en"/>
      </w:pPr>
      <w:r w:rsidRPr="00464017">
        <w:t>Moisan M., Zakrewski Z. // J. Phys. D: Appl. Phys., 1991, vol. 24, p. 1025.</w:t>
      </w:r>
    </w:p>
    <w:p w:rsidR="00464017" w:rsidRPr="00464017" w:rsidRDefault="00464017" w:rsidP="00464017">
      <w:pPr>
        <w:pStyle w:val="Zv-References-en"/>
      </w:pPr>
      <w:r w:rsidRPr="00464017">
        <w:t>Zhukov V.I., Karfidov D.M., K.F. Sergeichev. // Plasma Physics Reports, 2020, vol. 46, No. 8, pp. 760-768.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32" w:rsidRDefault="00C04A32">
      <w:r>
        <w:separator/>
      </w:r>
    </w:p>
  </w:endnote>
  <w:endnote w:type="continuationSeparator" w:id="0">
    <w:p w:rsidR="00C04A32" w:rsidRDefault="00C0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35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35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05F0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32" w:rsidRDefault="00C04A32">
      <w:r>
        <w:separator/>
      </w:r>
    </w:p>
  </w:footnote>
  <w:footnote w:type="continuationSeparator" w:id="0">
    <w:p w:rsidR="00C04A32" w:rsidRDefault="00C04A32">
      <w:r>
        <w:continuationSeparator/>
      </w:r>
    </w:p>
  </w:footnote>
  <w:footnote w:id="1">
    <w:p w:rsidR="00A05F07" w:rsidRPr="00A05F07" w:rsidRDefault="00A05F07">
      <w:pPr>
        <w:pStyle w:val="a8"/>
        <w:rPr>
          <w:lang w:val="en-US"/>
        </w:rPr>
      </w:pPr>
      <w:r w:rsidRPr="00A05F07">
        <w:rPr>
          <w:rStyle w:val="aa"/>
          <w:lang w:val="en-US"/>
        </w:rPr>
        <w:t>*)</w:t>
      </w:r>
      <w:r w:rsidRPr="00A05F07">
        <w:rPr>
          <w:lang w:val="en-US"/>
        </w:rPr>
        <w:t xml:space="preserve"> </w:t>
      </w:r>
      <w:hyperlink r:id="rId1" w:history="1">
        <w:r w:rsidRPr="00A05F0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435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04A32"/>
    <w:rsid w:val="00043701"/>
    <w:rsid w:val="00081366"/>
    <w:rsid w:val="000C657D"/>
    <w:rsid w:val="000C7078"/>
    <w:rsid w:val="000D76E9"/>
    <w:rsid w:val="000E495B"/>
    <w:rsid w:val="001435F7"/>
    <w:rsid w:val="001C0CCB"/>
    <w:rsid w:val="00205708"/>
    <w:rsid w:val="00220629"/>
    <w:rsid w:val="0023083F"/>
    <w:rsid w:val="00247225"/>
    <w:rsid w:val="003800F3"/>
    <w:rsid w:val="003A606B"/>
    <w:rsid w:val="003B5B93"/>
    <w:rsid w:val="003E0981"/>
    <w:rsid w:val="00401388"/>
    <w:rsid w:val="0043297E"/>
    <w:rsid w:val="00446025"/>
    <w:rsid w:val="00464017"/>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50BDA"/>
    <w:rsid w:val="007B09C9"/>
    <w:rsid w:val="007B6378"/>
    <w:rsid w:val="007E06CE"/>
    <w:rsid w:val="00802D35"/>
    <w:rsid w:val="008306AF"/>
    <w:rsid w:val="008520F9"/>
    <w:rsid w:val="00871582"/>
    <w:rsid w:val="008850EF"/>
    <w:rsid w:val="00906FF7"/>
    <w:rsid w:val="009D3AC4"/>
    <w:rsid w:val="00A05F07"/>
    <w:rsid w:val="00AE6185"/>
    <w:rsid w:val="00B622ED"/>
    <w:rsid w:val="00B9584E"/>
    <w:rsid w:val="00C04A32"/>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64017"/>
    <w:rPr>
      <w:color w:val="0000FF" w:themeColor="hyperlink"/>
      <w:u w:val="single"/>
    </w:rPr>
  </w:style>
  <w:style w:type="character" w:customStyle="1" w:styleId="hwtze">
    <w:name w:val="hwtze"/>
    <w:basedOn w:val="a0"/>
    <w:rsid w:val="00464017"/>
  </w:style>
  <w:style w:type="character" w:customStyle="1" w:styleId="rynqvb">
    <w:name w:val="rynqvb"/>
    <w:basedOn w:val="a0"/>
    <w:rsid w:val="00464017"/>
  </w:style>
  <w:style w:type="character" w:customStyle="1" w:styleId="Zv-bodyreportChar">
    <w:name w:val="Zv-body_report Char"/>
    <w:link w:val="Zv-bodyreport"/>
    <w:locked/>
    <w:rsid w:val="00464017"/>
    <w:rPr>
      <w:sz w:val="24"/>
      <w:szCs w:val="24"/>
    </w:rPr>
  </w:style>
  <w:style w:type="paragraph" w:styleId="a8">
    <w:name w:val="footnote text"/>
    <w:basedOn w:val="a"/>
    <w:link w:val="a9"/>
    <w:rsid w:val="00A05F07"/>
    <w:rPr>
      <w:sz w:val="20"/>
      <w:szCs w:val="20"/>
    </w:rPr>
  </w:style>
  <w:style w:type="character" w:customStyle="1" w:styleId="a9">
    <w:name w:val="Текст сноски Знак"/>
    <w:basedOn w:val="a0"/>
    <w:link w:val="a8"/>
    <w:rsid w:val="00A05F07"/>
  </w:style>
  <w:style w:type="character" w:styleId="aa">
    <w:name w:val="footnote reference"/>
    <w:basedOn w:val="a0"/>
    <w:rsid w:val="00A05F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ukov.vsevolod@physics.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M-Zhu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1C5E7-9230-4153-9E67-72B39223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3</TotalTime>
  <Pages>1</Pages>
  <Words>508</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DISTRIBUTION IN A MICROWAVE DISHARGE COLUMN SUSTAINED BY A STANDING SURFACE WAVE</dc:title>
  <dc:creator/>
  <cp:lastModifiedBy>Сатунин</cp:lastModifiedBy>
  <cp:revision>2</cp:revision>
  <cp:lastPrinted>1601-01-01T00:00:00Z</cp:lastPrinted>
  <dcterms:created xsi:type="dcterms:W3CDTF">2023-02-11T09:47:00Z</dcterms:created>
  <dcterms:modified xsi:type="dcterms:W3CDTF">2023-05-16T13:42:00Z</dcterms:modified>
</cp:coreProperties>
</file>