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A3" w:rsidRPr="008D7747" w:rsidRDefault="008148A3" w:rsidP="008D7747">
      <w:pPr>
        <w:pStyle w:val="Zv-Titlereport"/>
        <w:spacing w:line="235" w:lineRule="auto"/>
      </w:pPr>
      <w:r>
        <w:t>к вопросу О возможности термоядерного зажигания мишеней</w:t>
      </w:r>
      <w:r w:rsidRPr="00482BFF">
        <w:t xml:space="preserve"> </w:t>
      </w:r>
      <w:r>
        <w:t>прямого облучения на мегаджоульных установках с длиной</w:t>
      </w:r>
      <w:r w:rsidRPr="00482BFF">
        <w:t xml:space="preserve"> </w:t>
      </w:r>
      <w:r>
        <w:t>волны лазерного излучения 0</w:t>
      </w:r>
      <w:r w:rsidRPr="007D2923">
        <w:t>.</w:t>
      </w:r>
      <w:r>
        <w:t>35 мкм и 0</w:t>
      </w:r>
      <w:r w:rsidRPr="007D2923">
        <w:t>.</w:t>
      </w:r>
      <w:r>
        <w:t>53 мкм</w:t>
      </w:r>
      <w:r w:rsidR="008D7747" w:rsidRPr="008D7747">
        <w:t xml:space="preserve"> </w:t>
      </w:r>
      <w:r w:rsidR="008D7747">
        <w:rPr>
          <w:rStyle w:val="aa"/>
        </w:rPr>
        <w:footnoteReference w:customMarkFollows="1" w:id="1"/>
        <w:t>*)</w:t>
      </w:r>
    </w:p>
    <w:p w:rsidR="008148A3" w:rsidRPr="008D7747" w:rsidRDefault="008148A3" w:rsidP="008D7747">
      <w:pPr>
        <w:pStyle w:val="Zv-Author"/>
        <w:spacing w:line="235" w:lineRule="auto"/>
        <w:rPr>
          <w:lang w:val="en-US"/>
        </w:rPr>
      </w:pPr>
      <w:r w:rsidRPr="00F329F8">
        <w:t>Бакуркина</w:t>
      </w:r>
      <w:r w:rsidRPr="008D7747">
        <w:rPr>
          <w:lang w:val="en-US"/>
        </w:rPr>
        <w:t xml:space="preserve"> </w:t>
      </w:r>
      <w:r w:rsidRPr="00F329F8">
        <w:t>Е</w:t>
      </w:r>
      <w:r w:rsidRPr="008D7747">
        <w:rPr>
          <w:lang w:val="en-US"/>
        </w:rPr>
        <w:t>.</w:t>
      </w:r>
      <w:r w:rsidRPr="00F329F8">
        <w:t>С</w:t>
      </w:r>
      <w:r w:rsidRPr="008D7747">
        <w:rPr>
          <w:lang w:val="en-US"/>
        </w:rPr>
        <w:t xml:space="preserve">., </w:t>
      </w:r>
      <w:r w:rsidRPr="00F329F8">
        <w:t>Борецких</w:t>
      </w:r>
      <w:r w:rsidRPr="008D7747">
        <w:rPr>
          <w:lang w:val="en-US"/>
        </w:rPr>
        <w:t xml:space="preserve"> </w:t>
      </w:r>
      <w:r w:rsidRPr="00F329F8">
        <w:t>Д</w:t>
      </w:r>
      <w:r w:rsidRPr="008D7747">
        <w:rPr>
          <w:lang w:val="en-US"/>
        </w:rPr>
        <w:t>.</w:t>
      </w:r>
      <w:r w:rsidRPr="00F329F8">
        <w:t>В</w:t>
      </w:r>
      <w:r w:rsidRPr="008D7747">
        <w:rPr>
          <w:lang w:val="en-US"/>
        </w:rPr>
        <w:t xml:space="preserve">., </w:t>
      </w:r>
      <w:r w:rsidRPr="00F329F8">
        <w:t>Дембовский</w:t>
      </w:r>
      <w:r w:rsidRPr="008D7747">
        <w:rPr>
          <w:lang w:val="en-US"/>
        </w:rPr>
        <w:t xml:space="preserve"> </w:t>
      </w:r>
      <w:r w:rsidRPr="00F329F8">
        <w:t>Д</w:t>
      </w:r>
      <w:r w:rsidRPr="008D7747">
        <w:rPr>
          <w:lang w:val="en-US"/>
        </w:rPr>
        <w:t>.</w:t>
      </w:r>
      <w:r w:rsidRPr="00F329F8">
        <w:t>В</w:t>
      </w:r>
      <w:r w:rsidRPr="008D7747">
        <w:rPr>
          <w:lang w:val="en-US"/>
        </w:rPr>
        <w:t xml:space="preserve">., </w:t>
      </w:r>
      <w:r w:rsidRPr="00F329F8">
        <w:t>Карлыханов</w:t>
      </w:r>
      <w:r w:rsidRPr="008D7747">
        <w:rPr>
          <w:lang w:val="en-US"/>
        </w:rPr>
        <w:t xml:space="preserve"> </w:t>
      </w:r>
      <w:r w:rsidRPr="00F329F8">
        <w:t>Н</w:t>
      </w:r>
      <w:r w:rsidRPr="008D7747">
        <w:rPr>
          <w:lang w:val="en-US"/>
        </w:rPr>
        <w:t>.</w:t>
      </w:r>
      <w:r w:rsidRPr="00F329F8">
        <w:t>Г</w:t>
      </w:r>
      <w:r w:rsidRPr="008D7747">
        <w:rPr>
          <w:lang w:val="en-US"/>
        </w:rPr>
        <w:t xml:space="preserve">., </w:t>
      </w:r>
      <w:r w:rsidRPr="00F329F8">
        <w:rPr>
          <w:u w:val="single"/>
        </w:rPr>
        <w:t>Лыков</w:t>
      </w:r>
      <w:r w:rsidRPr="008D7747">
        <w:rPr>
          <w:u w:val="single"/>
          <w:lang w:val="en-US"/>
        </w:rPr>
        <w:t xml:space="preserve"> </w:t>
      </w:r>
      <w:r w:rsidRPr="00F329F8">
        <w:rPr>
          <w:u w:val="single"/>
        </w:rPr>
        <w:t>В</w:t>
      </w:r>
      <w:r w:rsidRPr="008D7747">
        <w:rPr>
          <w:u w:val="single"/>
          <w:lang w:val="en-US"/>
        </w:rPr>
        <w:t>.</w:t>
      </w:r>
      <w:r w:rsidRPr="00F329F8">
        <w:rPr>
          <w:u w:val="single"/>
        </w:rPr>
        <w:t>А</w:t>
      </w:r>
      <w:r w:rsidRPr="008D7747">
        <w:rPr>
          <w:u w:val="single"/>
          <w:lang w:val="en-US"/>
        </w:rPr>
        <w:t>.</w:t>
      </w:r>
      <w:r w:rsidRPr="008D7747">
        <w:rPr>
          <w:lang w:val="en-US"/>
        </w:rPr>
        <w:t xml:space="preserve">, </w:t>
      </w:r>
      <w:r w:rsidRPr="00F329F8">
        <w:t>Рыкованов</w:t>
      </w:r>
      <w:r w:rsidRPr="008D7747">
        <w:rPr>
          <w:lang w:val="en-US"/>
        </w:rPr>
        <w:t xml:space="preserve"> </w:t>
      </w:r>
      <w:r w:rsidRPr="00F329F8">
        <w:t>Г</w:t>
      </w:r>
      <w:r w:rsidRPr="008D7747">
        <w:rPr>
          <w:lang w:val="en-US"/>
        </w:rPr>
        <w:t>.</w:t>
      </w:r>
      <w:r w:rsidRPr="00F329F8">
        <w:t>Н</w:t>
      </w:r>
      <w:r w:rsidRPr="008D7747">
        <w:rPr>
          <w:lang w:val="en-US"/>
        </w:rPr>
        <w:t xml:space="preserve">., </w:t>
      </w:r>
      <w:r w:rsidRPr="00F329F8">
        <w:t>Соколов</w:t>
      </w:r>
      <w:r w:rsidRPr="008D7747">
        <w:rPr>
          <w:lang w:val="en-US"/>
        </w:rPr>
        <w:t xml:space="preserve"> </w:t>
      </w:r>
      <w:r w:rsidRPr="00F329F8">
        <w:t>Л</w:t>
      </w:r>
      <w:r w:rsidRPr="008D7747">
        <w:rPr>
          <w:lang w:val="en-US"/>
        </w:rPr>
        <w:t>.</w:t>
      </w:r>
      <w:r w:rsidRPr="00F329F8">
        <w:t>В</w:t>
      </w:r>
      <w:r w:rsidRPr="008D7747">
        <w:rPr>
          <w:lang w:val="en-US"/>
        </w:rPr>
        <w:t xml:space="preserve">., </w:t>
      </w:r>
      <w:r w:rsidRPr="00F329F8">
        <w:t>Черняков</w:t>
      </w:r>
      <w:r w:rsidRPr="008D7747">
        <w:rPr>
          <w:lang w:val="en-US"/>
        </w:rPr>
        <w:t xml:space="preserve"> </w:t>
      </w:r>
      <w:r w:rsidRPr="00F329F8">
        <w:t>В</w:t>
      </w:r>
      <w:r w:rsidRPr="008D7747">
        <w:rPr>
          <w:lang w:val="en-US"/>
        </w:rPr>
        <w:t>.</w:t>
      </w:r>
      <w:r w:rsidRPr="00F329F8">
        <w:t>Е</w:t>
      </w:r>
      <w:r w:rsidRPr="008D7747">
        <w:rPr>
          <w:lang w:val="en-US"/>
        </w:rPr>
        <w:t xml:space="preserve">., </w:t>
      </w:r>
      <w:r w:rsidRPr="00F329F8">
        <w:t>Шушлебин</w:t>
      </w:r>
      <w:r w:rsidRPr="008D7747">
        <w:rPr>
          <w:lang w:val="en-US"/>
        </w:rPr>
        <w:t xml:space="preserve"> </w:t>
      </w:r>
      <w:r w:rsidRPr="00F329F8">
        <w:t>А</w:t>
      </w:r>
      <w:r w:rsidRPr="008D7747">
        <w:rPr>
          <w:lang w:val="en-US"/>
        </w:rPr>
        <w:t>.</w:t>
      </w:r>
      <w:r w:rsidRPr="00F329F8">
        <w:t>Н</w:t>
      </w:r>
      <w:r w:rsidRPr="008D7747">
        <w:rPr>
          <w:lang w:val="en-US"/>
        </w:rPr>
        <w:t>.</w:t>
      </w:r>
    </w:p>
    <w:p w:rsidR="008148A3" w:rsidRPr="008148A3" w:rsidRDefault="008148A3" w:rsidP="008D7747">
      <w:pPr>
        <w:pStyle w:val="Zv-Organization"/>
        <w:spacing w:line="235" w:lineRule="auto"/>
        <w:rPr>
          <w:iCs/>
        </w:rPr>
      </w:pPr>
      <w:r w:rsidRPr="004254FB">
        <w:rPr>
          <w:iCs/>
        </w:rPr>
        <w:t>ФГУП «РФЯЦ-</w:t>
      </w:r>
      <w:r w:rsidRPr="008148A3">
        <w:t>ВНИИТФ</w:t>
      </w:r>
      <w:r w:rsidRPr="004254FB">
        <w:rPr>
          <w:iCs/>
        </w:rPr>
        <w:t xml:space="preserve"> им. академика Е.И. Забабахина», Снежинск, Россия, </w:t>
      </w:r>
      <w:hyperlink r:id="rId8" w:history="1">
        <w:r w:rsidRPr="00F74A17">
          <w:rPr>
            <w:rStyle w:val="a7"/>
            <w:iCs/>
          </w:rPr>
          <w:t>v.a.lykov@vniitf.ru</w:t>
        </w:r>
      </w:hyperlink>
    </w:p>
    <w:p w:rsidR="008148A3" w:rsidRDefault="008148A3" w:rsidP="008D7747">
      <w:pPr>
        <w:pStyle w:val="Zv-bodyreport"/>
        <w:spacing w:line="235" w:lineRule="auto"/>
      </w:pPr>
      <w:r>
        <w:t xml:space="preserve">В экспериментах с мишенями непрямого облучения на установке </w:t>
      </w:r>
      <w:r>
        <w:rPr>
          <w:lang w:val="en-US"/>
        </w:rPr>
        <w:t>NIF</w:t>
      </w:r>
      <w:r>
        <w:t xml:space="preserve"> получен выход термоядерной энергии </w:t>
      </w:r>
      <w:r>
        <w:rPr>
          <w:lang w:val="en-US"/>
        </w:rPr>
        <w:t>E</w:t>
      </w:r>
      <w:r>
        <w:rPr>
          <w:vertAlign w:val="subscript"/>
        </w:rPr>
        <w:t>ТЯ</w:t>
      </w:r>
      <w:r>
        <w:rPr>
          <w:vertAlign w:val="subscript"/>
          <w:lang w:val="en-US"/>
        </w:rPr>
        <w:t> </w:t>
      </w:r>
      <w:r>
        <w:t>≈</w:t>
      </w:r>
      <w:r>
        <w:rPr>
          <w:lang w:val="en-US"/>
        </w:rPr>
        <w:t> </w:t>
      </w:r>
      <w:r>
        <w:t>1</w:t>
      </w:r>
      <w:r w:rsidRPr="007D2923">
        <w:t>.</w:t>
      </w:r>
      <w:r>
        <w:t>3</w:t>
      </w:r>
      <w:r w:rsidRPr="00677EEE">
        <w:t>7</w:t>
      </w:r>
      <w:r>
        <w:t> МДж при энергии лазера E</w:t>
      </w:r>
      <w:r>
        <w:rPr>
          <w:vertAlign w:val="subscript"/>
        </w:rPr>
        <w:t>L</w:t>
      </w:r>
      <w:r>
        <w:rPr>
          <w:vertAlign w:val="subscript"/>
          <w:lang w:val="en-US"/>
        </w:rPr>
        <w:t> </w:t>
      </w:r>
      <w:r>
        <w:t>≈</w:t>
      </w:r>
      <w:r>
        <w:rPr>
          <w:lang w:val="en-US"/>
        </w:rPr>
        <w:t> </w:t>
      </w:r>
      <w:r>
        <w:t>1</w:t>
      </w:r>
      <w:r w:rsidRPr="007D2923">
        <w:t>.</w:t>
      </w:r>
      <w:r>
        <w:t>9</w:t>
      </w:r>
      <w:r w:rsidRPr="00677EEE">
        <w:t>2</w:t>
      </w:r>
      <w:r>
        <w:t> МДж [1]. Возможность термоядерного зажигания мишеней прямого облучения еще предстоит выяснить. Основными проблемами при этом подходе являются развитие гидродинамических неустойчивостей и прогрев мишени быстрыми электронами (БЭ), возникающими в процессах двухплазмонного распада (ДПР) и вынужденного Рамановского рассеяния (ВРР) лазерного излучения (ЛИ) [2]. В докладе представлены результаты расчетов мишеней прямого облучения, проведенных в РФЯЦ-ВНИИТФ с целью изучения возможности достижения их термоядерного зажигания на мегаджоульных установках с длиной волны лазерного излучения λ=0</w:t>
      </w:r>
      <w:r w:rsidRPr="007D2923">
        <w:t>.</w:t>
      </w:r>
      <w:r>
        <w:t>35 мкм и λ=0</w:t>
      </w:r>
      <w:r w:rsidRPr="007D2923">
        <w:t>.</w:t>
      </w:r>
      <w:r>
        <w:t>53 мкм.</w:t>
      </w:r>
    </w:p>
    <w:p w:rsidR="008148A3" w:rsidRDefault="008148A3" w:rsidP="008D7747">
      <w:pPr>
        <w:pStyle w:val="Zv-bodyreport"/>
        <w:spacing w:line="235" w:lineRule="auto"/>
      </w:pPr>
      <w:r>
        <w:t xml:space="preserve">Расчеты однокаскадных мишеней прямого облучения, выполненные недавно по одномерной программе ЭРА с учетом переноса быстрых электронов в спектральном кинетическом приближении, подтвердили основной вывод работы [3], что генерация БЭ в процессах ДПР и ВРР будет препятствовать достижению термоядерного зажигания таких мишеней на установках с излучением во 2-ой гармонике </w:t>
      </w:r>
      <w:r>
        <w:rPr>
          <w:lang w:val="en-US"/>
        </w:rPr>
        <w:t>Nd</w:t>
      </w:r>
      <w:r>
        <w:t xml:space="preserve">-лазера. При использовании ЛИ с </w:t>
      </w:r>
      <w:r>
        <w:rPr>
          <w:rFonts w:ascii="Times New Roman Greek" w:hAnsi="Times New Roman Greek" w:cs="Times New Roman Greek"/>
        </w:rPr>
        <w:t>λ=0</w:t>
      </w:r>
      <w:r w:rsidRPr="007D2923">
        <w:rPr>
          <w:rFonts w:ascii="Times New Roman Greek" w:hAnsi="Times New Roman Greek" w:cs="Times New Roman Greek"/>
        </w:rPr>
        <w:t>.</w:t>
      </w:r>
      <w:r>
        <w:rPr>
          <w:rFonts w:ascii="Times New Roman Greek" w:hAnsi="Times New Roman Greek" w:cs="Times New Roman Greek"/>
        </w:rPr>
        <w:t>35 </w:t>
      </w:r>
      <w:r>
        <w:t>мкм, по-видимому,</w:t>
      </w:r>
      <w:r w:rsidRPr="00472DF2">
        <w:t xml:space="preserve"> </w:t>
      </w:r>
      <w:r>
        <w:t xml:space="preserve">можно будет подавить генерацию БЭ, если использовать для мишени абляторы типа </w:t>
      </w:r>
      <w:r>
        <w:rPr>
          <w:lang w:val="en-US"/>
        </w:rPr>
        <w:t>SiO</w:t>
      </w:r>
      <w:r>
        <w:rPr>
          <w:vertAlign w:val="subscript"/>
        </w:rPr>
        <w:t>2</w:t>
      </w:r>
      <w:r>
        <w:t>. В однокаскадных мишенях прямого облучения велика опасность гидродинамического развития коротковолновых возмущений, инициированных процессами филаментации ЛИ в плазме. Так двумерные расчеты однокаскадной мишени дали снижение выхода термоядерной энергии в ~ 3 раза при амплитуде 60-ой гармоники возмущения в симметрии поглощенной мишенью энергии ЛИ на уровне δ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 w:rsidRPr="0095084F">
        <w:t>/</w:t>
      </w:r>
      <w:r>
        <w:rPr>
          <w:lang w:val="en-US"/>
        </w:rPr>
        <w:t>q</w:t>
      </w:r>
      <w:r>
        <w:rPr>
          <w:vertAlign w:val="subscript"/>
          <w:lang w:val="en-US"/>
        </w:rPr>
        <w:t>a </w:t>
      </w:r>
      <w:r>
        <w:t>~</w:t>
      </w:r>
      <w:r>
        <w:rPr>
          <w:lang w:val="en-US"/>
        </w:rPr>
        <w:t> </w:t>
      </w:r>
      <w:r>
        <w:t>0</w:t>
      </w:r>
      <w:r w:rsidRPr="007D2923">
        <w:t>.</w:t>
      </w:r>
      <w:r>
        <w:t>1%.</w:t>
      </w:r>
    </w:p>
    <w:p w:rsidR="008148A3" w:rsidRDefault="008148A3" w:rsidP="008D7747">
      <w:pPr>
        <w:pStyle w:val="Zv-bodyreport"/>
        <w:spacing w:line="235" w:lineRule="auto"/>
      </w:pPr>
      <w:r>
        <w:t xml:space="preserve">В РФЯЦ-ВНИИТФ выполнены расчеты двухкаскадной мишени прямого облучения, предложенной в работе [4]. Для такой мишени ослабевают требования к длине волны ЛИ и амплитуде коротковолновых возмущений в симметрии поглощенной мишенью лазерной энергии. Наиболее опасными для мишени </w:t>
      </w:r>
      <w:r w:rsidRPr="0016505A">
        <w:t xml:space="preserve">[4] </w:t>
      </w:r>
      <w:r>
        <w:t xml:space="preserve">являются возмущения в однородности поглощенной энергии ЛИ с номерами гармоник </w:t>
      </w:r>
      <w:r>
        <w:rPr>
          <w:i/>
          <w:lang w:val="en-US"/>
        </w:rPr>
        <w:t>l </w:t>
      </w:r>
      <w:r>
        <w:t>~</w:t>
      </w:r>
      <w:r>
        <w:rPr>
          <w:lang w:val="en-US"/>
        </w:rPr>
        <w:t> </w:t>
      </w:r>
      <w:r>
        <w:t>10-20, амплитуда которых не должна превышать δ</w:t>
      </w:r>
      <w:r>
        <w:rPr>
          <w:lang w:val="en-US"/>
        </w:rPr>
        <w:t>q</w:t>
      </w:r>
      <w:r>
        <w:rPr>
          <w:vertAlign w:val="subscript"/>
          <w:lang w:val="en-US"/>
        </w:rPr>
        <w:t>a</w:t>
      </w:r>
      <w:r w:rsidRPr="0095084F">
        <w:t>/</w:t>
      </w:r>
      <w:r>
        <w:rPr>
          <w:lang w:val="en-US"/>
        </w:rPr>
        <w:t>q</w:t>
      </w:r>
      <w:r>
        <w:rPr>
          <w:vertAlign w:val="subscript"/>
          <w:lang w:val="en-US"/>
        </w:rPr>
        <w:t>a </w:t>
      </w:r>
      <w:r w:rsidRPr="0095084F">
        <w:t>≈</w:t>
      </w:r>
      <w:r>
        <w:rPr>
          <w:lang w:val="en-US"/>
        </w:rPr>
        <w:t> </w:t>
      </w:r>
      <w:r>
        <w:t>0</w:t>
      </w:r>
      <w:r w:rsidRPr="007D2923">
        <w:t>.</w:t>
      </w:r>
      <w:r>
        <w:t>5-1%. Для двухкаскадных мишеней существует проблема перемешивания DT-топлива и материала внутренней оболочки. Одномерные</w:t>
      </w:r>
      <w:r w:rsidRPr="00A6546E">
        <w:t xml:space="preserve"> </w:t>
      </w:r>
      <w:r>
        <w:t>расчеты, выполненные</w:t>
      </w:r>
      <w:r w:rsidRPr="00A6546E">
        <w:t xml:space="preserve"> </w:t>
      </w:r>
      <w:r>
        <w:t>для</w:t>
      </w:r>
      <w:r w:rsidRPr="00A6546E">
        <w:t xml:space="preserve"> </w:t>
      </w:r>
      <w:r>
        <w:t>мишени [4] без</w:t>
      </w:r>
      <w:r w:rsidRPr="00A6546E">
        <w:t xml:space="preserve"> </w:t>
      </w:r>
      <w:r>
        <w:t>учета</w:t>
      </w:r>
      <w:r w:rsidRPr="00A6546E">
        <w:t xml:space="preserve"> </w:t>
      </w:r>
      <w:r>
        <w:t>генерации</w:t>
      </w:r>
      <w:r w:rsidRPr="00A6546E">
        <w:t xml:space="preserve"> </w:t>
      </w:r>
      <w:r>
        <w:t>БЭ, дали</w:t>
      </w:r>
      <w:r w:rsidRPr="00A6546E">
        <w:t xml:space="preserve"> </w:t>
      </w:r>
      <w:r>
        <w:t>выход</w:t>
      </w:r>
      <w:r w:rsidRPr="00A6546E">
        <w:t xml:space="preserve"> </w:t>
      </w:r>
      <w:r>
        <w:t>нейтронов</w:t>
      </w:r>
      <w:r w:rsidRPr="00A6546E">
        <w:t xml:space="preserve"> </w:t>
      </w:r>
      <w:r w:rsidRPr="00A6546E">
        <w:rPr>
          <w:lang w:val="en-US"/>
        </w:rPr>
        <w:t>N</w:t>
      </w:r>
      <w:r w:rsidRPr="00A6546E">
        <w:rPr>
          <w:vertAlign w:val="subscript"/>
          <w:lang w:val="en-US"/>
        </w:rPr>
        <w:t>DT</w:t>
      </w:r>
      <w:r w:rsidRPr="00A6546E">
        <w:rPr>
          <w:lang w:val="en-US"/>
        </w:rPr>
        <w:t> </w:t>
      </w:r>
      <w:r w:rsidRPr="00A6546E">
        <w:t>≈</w:t>
      </w:r>
      <w:r w:rsidRPr="00A6546E">
        <w:rPr>
          <w:lang w:val="en-US"/>
        </w:rPr>
        <w:t> </w:t>
      </w:r>
      <w:r w:rsidRPr="00A6546E">
        <w:t>1.8∙10</w:t>
      </w:r>
      <w:r w:rsidRPr="00A6546E">
        <w:rPr>
          <w:vertAlign w:val="superscript"/>
        </w:rPr>
        <w:t>18</w:t>
      </w:r>
      <w:r w:rsidRPr="00A6546E">
        <w:t xml:space="preserve"> </w:t>
      </w:r>
      <w:r>
        <w:t>и</w:t>
      </w:r>
      <w:r w:rsidRPr="00A6546E">
        <w:t xml:space="preserve"> </w:t>
      </w:r>
      <w:r>
        <w:t>запас</w:t>
      </w:r>
      <w:r w:rsidRPr="00A6546E">
        <w:t xml:space="preserve"> </w:t>
      </w:r>
      <w:r>
        <w:t>по</w:t>
      </w:r>
      <w:r w:rsidRPr="00A6546E">
        <w:t xml:space="preserve"> </w:t>
      </w:r>
      <w:r>
        <w:t>термоядерному</w:t>
      </w:r>
      <w:r w:rsidRPr="00A6546E">
        <w:t xml:space="preserve"> </w:t>
      </w:r>
      <w:r>
        <w:t>зажиганию</w:t>
      </w:r>
      <w:r w:rsidRPr="00A6546E">
        <w:t xml:space="preserve"> </w:t>
      </w:r>
      <w:r>
        <w:t>[3] W</w:t>
      </w:r>
      <w:r>
        <w:rPr>
          <w:vertAlign w:val="subscript"/>
        </w:rPr>
        <w:t>Q</w:t>
      </w:r>
      <w:r>
        <w:t xml:space="preserve"> ≈ 6. Учет перемешивания по </w:t>
      </w:r>
      <w:r>
        <w:rPr>
          <w:rFonts w:ascii="Times New Roman Greek" w:hAnsi="Times New Roman Greek" w:cs="Times New Roman Greek"/>
          <w:i/>
        </w:rPr>
        <w:t>k</w:t>
      </w:r>
      <w:r>
        <w:rPr>
          <w:rFonts w:ascii="Calibri" w:hAnsi="Calibri" w:cs="Calibri"/>
          <w:i/>
        </w:rPr>
        <w:t>ε</w:t>
      </w:r>
      <w:r>
        <w:t xml:space="preserve">–модели с константами, отвечающими автомодельной «постоянной» </w:t>
      </w:r>
      <w:r>
        <w:rPr>
          <w:rFonts w:ascii="Calibri" w:hAnsi="Calibri" w:cs="Calibri"/>
          <w:i/>
        </w:rPr>
        <w:t>α</w:t>
      </w:r>
      <w:r>
        <w:rPr>
          <w:vertAlign w:val="subscript"/>
        </w:rPr>
        <w:t>b</w:t>
      </w:r>
      <w:r>
        <w:t> ≈ 0</w:t>
      </w:r>
      <w:r w:rsidRPr="007D2923">
        <w:t>.</w:t>
      </w:r>
      <w:r>
        <w:t>04, привел к снижению величин W</w:t>
      </w:r>
      <w:r>
        <w:rPr>
          <w:vertAlign w:val="subscript"/>
        </w:rPr>
        <w:t>Q</w:t>
      </w:r>
      <w:r>
        <w:t xml:space="preserve"> и N</w:t>
      </w:r>
      <w:r>
        <w:rPr>
          <w:vertAlign w:val="subscript"/>
        </w:rPr>
        <w:t>DT</w:t>
      </w:r>
      <w:r>
        <w:t>  в 2-3 раза. Однако остается открытым вопрос о применимости эмпирических моделей турбулентного перемешивания для моделирования мишеней ИТС, поскольку числа Рейнольдса в этом случае не велики. Будущие эксперименты с двухкаскадными мишенями помогут дать ответ на этот вопрос.</w:t>
      </w:r>
    </w:p>
    <w:p w:rsidR="008148A3" w:rsidRPr="00361DED" w:rsidRDefault="008148A3" w:rsidP="008D7747">
      <w:pPr>
        <w:pStyle w:val="Zv-TitleReferences-ru"/>
        <w:spacing w:line="235" w:lineRule="auto"/>
        <w:rPr>
          <w:lang w:val="en-US"/>
        </w:rPr>
      </w:pPr>
      <w:r>
        <w:t>Литература</w:t>
      </w:r>
    </w:p>
    <w:p w:rsidR="008148A3" w:rsidRPr="008148A3" w:rsidRDefault="008148A3" w:rsidP="008D7747">
      <w:pPr>
        <w:pStyle w:val="Zv-References-ru"/>
        <w:spacing w:line="235" w:lineRule="auto"/>
      </w:pPr>
      <w:r w:rsidRPr="008148A3">
        <w:rPr>
          <w:lang w:val="en-US"/>
        </w:rPr>
        <w:t xml:space="preserve">Kritcher A.L., Zylstra A.B., Callahan D.A., et al., Phys. </w:t>
      </w:r>
      <w:r w:rsidRPr="008148A3">
        <w:t>Rev. E (2022) 106, 025201</w:t>
      </w:r>
    </w:p>
    <w:p w:rsidR="008148A3" w:rsidRPr="008148A3" w:rsidRDefault="008148A3" w:rsidP="008D7747">
      <w:pPr>
        <w:pStyle w:val="Zv-References-ru"/>
        <w:spacing w:line="235" w:lineRule="auto"/>
        <w:rPr>
          <w:lang w:val="en-US"/>
        </w:rPr>
      </w:pPr>
      <w:r w:rsidRPr="008148A3">
        <w:rPr>
          <w:lang w:val="en-US"/>
        </w:rPr>
        <w:t>Craxton R.S., Anderson K.S., Boehly T.R., et al., Phys.Plasmas (2015) 22, 110501</w:t>
      </w:r>
    </w:p>
    <w:p w:rsidR="008148A3" w:rsidRPr="008148A3" w:rsidRDefault="008148A3" w:rsidP="008D7747">
      <w:pPr>
        <w:pStyle w:val="Zv-References-ru"/>
        <w:spacing w:line="235" w:lineRule="auto"/>
        <w:rPr>
          <w:szCs w:val="24"/>
        </w:rPr>
      </w:pPr>
      <w:r w:rsidRPr="008148A3">
        <w:rPr>
          <w:szCs w:val="24"/>
        </w:rPr>
        <w:t>Бакуркина Е.С., Карлыханов Н.Г., Лыков В.А., Рыкованов Г.Н., Химич И.А., Черняков В.Е., Ядерная физика и инжиниринг (2019) 10 (3), 271–284</w:t>
      </w:r>
    </w:p>
    <w:p w:rsidR="008148A3" w:rsidRPr="008148A3" w:rsidRDefault="008148A3" w:rsidP="008D7747">
      <w:pPr>
        <w:pStyle w:val="Zv-References-ru"/>
        <w:spacing w:line="235" w:lineRule="auto"/>
        <w:rPr>
          <w:szCs w:val="24"/>
        </w:rPr>
      </w:pPr>
      <w:r w:rsidRPr="008148A3">
        <w:rPr>
          <w:szCs w:val="24"/>
          <w:lang w:val="en-US"/>
        </w:rPr>
        <w:t xml:space="preserve">Hu S.X., Epstein R., Theobald W., et al., Phys. </w:t>
      </w:r>
      <w:r w:rsidRPr="008148A3">
        <w:rPr>
          <w:szCs w:val="24"/>
        </w:rPr>
        <w:t>Rev. E (2019) 100, 063204</w:t>
      </w:r>
    </w:p>
    <w:sectPr w:rsidR="008148A3" w:rsidRPr="008148A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870" w:rsidRDefault="00B53870">
      <w:r>
        <w:separator/>
      </w:r>
    </w:p>
  </w:endnote>
  <w:endnote w:type="continuationSeparator" w:id="0">
    <w:p w:rsidR="00B53870" w:rsidRDefault="00B5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Greek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534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4D2AC2" w:rsidRDefault="001534D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747">
      <w:rPr>
        <w:rStyle w:val="a5"/>
        <w:noProof/>
      </w:rPr>
      <w:t>1</w:t>
    </w:r>
    <w:r>
      <w:rPr>
        <w:rStyle w:val="a5"/>
      </w:rPr>
      <w:fldChar w:fldCharType="end"/>
    </w:r>
    <w:r w:rsidR="004D2AC2">
      <w:rPr>
        <w:rStyle w:val="a5"/>
        <w:lang w:val="en-US"/>
      </w:rPr>
      <w:t>47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870" w:rsidRDefault="00B53870">
      <w:r>
        <w:separator/>
      </w:r>
    </w:p>
  </w:footnote>
  <w:footnote w:type="continuationSeparator" w:id="0">
    <w:p w:rsidR="00B53870" w:rsidRDefault="00B53870">
      <w:r>
        <w:continuationSeparator/>
      </w:r>
    </w:p>
  </w:footnote>
  <w:footnote w:id="1">
    <w:p w:rsidR="008D7747" w:rsidRPr="008D7747" w:rsidRDefault="008D774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D774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148A3">
      <w:rPr>
        <w:sz w:val="20"/>
      </w:rPr>
      <w:t>20</w:t>
    </w:r>
    <w:r w:rsidR="00C62CFE">
      <w:rPr>
        <w:sz w:val="20"/>
      </w:rPr>
      <w:t xml:space="preserve"> – </w:t>
    </w:r>
    <w:r w:rsidR="00700C3A" w:rsidRPr="008148A3">
      <w:rPr>
        <w:sz w:val="20"/>
      </w:rPr>
      <w:t>2</w:t>
    </w:r>
    <w:r w:rsidR="00577A8A" w:rsidRPr="008148A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148A3">
      <w:rPr>
        <w:sz w:val="20"/>
      </w:rPr>
      <w:t>2</w:t>
    </w:r>
    <w:r w:rsidR="00700C3A" w:rsidRPr="008148A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534D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870"/>
    <w:rsid w:val="00037DCC"/>
    <w:rsid w:val="00043701"/>
    <w:rsid w:val="000C7078"/>
    <w:rsid w:val="000D76E9"/>
    <w:rsid w:val="000E495B"/>
    <w:rsid w:val="00140645"/>
    <w:rsid w:val="001534D6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2AC2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18BF"/>
    <w:rsid w:val="007B6378"/>
    <w:rsid w:val="007D3F59"/>
    <w:rsid w:val="00802D35"/>
    <w:rsid w:val="008148A3"/>
    <w:rsid w:val="008D7747"/>
    <w:rsid w:val="008E2894"/>
    <w:rsid w:val="009352E6"/>
    <w:rsid w:val="0094721E"/>
    <w:rsid w:val="009551FC"/>
    <w:rsid w:val="009576BE"/>
    <w:rsid w:val="00A66876"/>
    <w:rsid w:val="00A71613"/>
    <w:rsid w:val="00AB3459"/>
    <w:rsid w:val="00AD7670"/>
    <w:rsid w:val="00B538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1">
    <w:name w:val="Zv-Title_report1"/>
    <w:basedOn w:val="a0"/>
    <w:link w:val="Zv-Titlereport"/>
    <w:locked/>
    <w:rsid w:val="008148A3"/>
    <w:rPr>
      <w:b/>
      <w:caps/>
      <w:kern w:val="24"/>
      <w:sz w:val="24"/>
    </w:rPr>
  </w:style>
  <w:style w:type="character" w:customStyle="1" w:styleId="Zv-bodyreportChar">
    <w:name w:val="Zv-body_report Char"/>
    <w:link w:val="Zv-bodyreport"/>
    <w:locked/>
    <w:rsid w:val="008148A3"/>
    <w:rPr>
      <w:sz w:val="24"/>
      <w:szCs w:val="24"/>
    </w:rPr>
  </w:style>
  <w:style w:type="character" w:styleId="a7">
    <w:name w:val="Hyperlink"/>
    <w:basedOn w:val="a0"/>
    <w:rsid w:val="008148A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D774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D7747"/>
  </w:style>
  <w:style w:type="character" w:styleId="aa">
    <w:name w:val="footnote reference"/>
    <w:basedOn w:val="a0"/>
    <w:rsid w:val="008D77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.lykov@vniit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A-Ly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6E9E8-256F-40E0-8475-EBDE1595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473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ВОЗМОЖНОСТИ ТЕРМОЯДЕРНОГО ЗАЖИГАНИЯ МИШЕНЕЙ ПРЯМОГО ОБЛУЧЕНИЯ НА МЕГАДЖОУЛЬНЫХ УСТАНОВКАХ С ДЛИНОЙ ВОЛНЫ ЛАЗЕРНОГО ИЗЛУЧЕНИЯ 0.35 МКМ И 0.53 МКМ</dc:title>
  <dc:creator/>
  <cp:lastModifiedBy>Сатунин</cp:lastModifiedBy>
  <cp:revision>3</cp:revision>
  <cp:lastPrinted>1601-01-01T00:00:00Z</cp:lastPrinted>
  <dcterms:created xsi:type="dcterms:W3CDTF">2023-01-30T10:21:00Z</dcterms:created>
  <dcterms:modified xsi:type="dcterms:W3CDTF">2023-05-15T18:11:00Z</dcterms:modified>
</cp:coreProperties>
</file>