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6D" w:rsidRPr="004501AF" w:rsidRDefault="008A146D" w:rsidP="004501AF">
      <w:pPr>
        <w:pStyle w:val="Zv-Titlereport"/>
        <w:spacing w:line="223" w:lineRule="auto"/>
      </w:pPr>
      <w:r w:rsidRPr="00391FA2">
        <w:t>Крупногабаритные собирающие зеркала для диагностики томсоновского рассеяния в диверторе ИТЭР</w:t>
      </w:r>
      <w:r w:rsidR="004501AF" w:rsidRPr="004501AF">
        <w:t xml:space="preserve"> </w:t>
      </w:r>
      <w:r w:rsidR="004501AF">
        <w:rPr>
          <w:rStyle w:val="a9"/>
        </w:rPr>
        <w:footnoteReference w:customMarkFollows="1" w:id="1"/>
        <w:t>*)</w:t>
      </w:r>
    </w:p>
    <w:p w:rsidR="008A146D" w:rsidRPr="004501AF" w:rsidRDefault="008A146D" w:rsidP="004501AF">
      <w:pPr>
        <w:pStyle w:val="Zv-Author"/>
        <w:spacing w:line="223" w:lineRule="auto"/>
        <w:rPr>
          <w:lang w:val="en-US"/>
        </w:rPr>
      </w:pPr>
      <w:r w:rsidRPr="004501AF">
        <w:rPr>
          <w:vertAlign w:val="superscript"/>
          <w:lang w:val="en-US"/>
        </w:rPr>
        <w:t>1</w:t>
      </w:r>
      <w:r>
        <w:t>Терещенко</w:t>
      </w:r>
      <w:r w:rsidRPr="004501AF">
        <w:rPr>
          <w:lang w:val="en-US"/>
        </w:rPr>
        <w:t xml:space="preserve"> </w:t>
      </w:r>
      <w:r>
        <w:t>И</w:t>
      </w:r>
      <w:r w:rsidRPr="004501AF">
        <w:rPr>
          <w:lang w:val="en-US"/>
        </w:rPr>
        <w:t>.</w:t>
      </w:r>
      <w:r>
        <w:t>Б</w:t>
      </w:r>
      <w:r w:rsidRPr="004501AF">
        <w:rPr>
          <w:lang w:val="en-US"/>
        </w:rPr>
        <w:t xml:space="preserve">., </w:t>
      </w:r>
      <w:r w:rsidRPr="004501AF">
        <w:rPr>
          <w:vertAlign w:val="superscript"/>
          <w:lang w:val="en-US"/>
        </w:rPr>
        <w:t>1</w:t>
      </w:r>
      <w:r>
        <w:t>Самсонов</w:t>
      </w:r>
      <w:r w:rsidRPr="004501AF">
        <w:rPr>
          <w:lang w:val="en-US"/>
        </w:rPr>
        <w:t xml:space="preserve"> </w:t>
      </w:r>
      <w:r>
        <w:t>Д</w:t>
      </w:r>
      <w:r w:rsidRPr="004501AF">
        <w:rPr>
          <w:lang w:val="en-US"/>
        </w:rPr>
        <w:t>.</w:t>
      </w:r>
      <w:r>
        <w:t>С</w:t>
      </w:r>
      <w:r w:rsidRPr="004501AF">
        <w:rPr>
          <w:lang w:val="en-US"/>
        </w:rPr>
        <w:t xml:space="preserve">., </w:t>
      </w:r>
      <w:r w:rsidRPr="004501AF">
        <w:rPr>
          <w:vertAlign w:val="superscript"/>
          <w:lang w:val="en-US"/>
        </w:rPr>
        <w:t>1</w:t>
      </w:r>
      <w:r>
        <w:t>Мухин</w:t>
      </w:r>
      <w:r w:rsidRPr="004501AF">
        <w:rPr>
          <w:lang w:val="en-US"/>
        </w:rPr>
        <w:t xml:space="preserve"> </w:t>
      </w:r>
      <w:r>
        <w:t>Е</w:t>
      </w:r>
      <w:r w:rsidRPr="004501AF">
        <w:rPr>
          <w:lang w:val="en-US"/>
        </w:rPr>
        <w:t>.</w:t>
      </w:r>
      <w:r>
        <w:t>Е</w:t>
      </w:r>
      <w:r w:rsidRPr="004501AF">
        <w:rPr>
          <w:lang w:val="en-US"/>
        </w:rPr>
        <w:t xml:space="preserve">., </w:t>
      </w:r>
      <w:r w:rsidRPr="004501AF">
        <w:rPr>
          <w:vertAlign w:val="superscript"/>
          <w:lang w:val="en-US"/>
        </w:rPr>
        <w:t>1</w:t>
      </w:r>
      <w:r>
        <w:t>Марчий</w:t>
      </w:r>
      <w:r w:rsidRPr="004501AF">
        <w:rPr>
          <w:lang w:val="en-US"/>
        </w:rPr>
        <w:t xml:space="preserve"> </w:t>
      </w:r>
      <w:r>
        <w:t>Г</w:t>
      </w:r>
      <w:r w:rsidRPr="004501AF">
        <w:rPr>
          <w:lang w:val="en-US"/>
        </w:rPr>
        <w:t>.</w:t>
      </w:r>
      <w:r>
        <w:t>В</w:t>
      </w:r>
      <w:r w:rsidRPr="004501AF">
        <w:rPr>
          <w:lang w:val="en-US"/>
        </w:rPr>
        <w:t xml:space="preserve">., </w:t>
      </w:r>
      <w:r w:rsidRPr="004501AF">
        <w:rPr>
          <w:vertAlign w:val="superscript"/>
          <w:lang w:val="en-US"/>
        </w:rPr>
        <w:t>2</w:t>
      </w:r>
      <w:r>
        <w:t>Губаль</w:t>
      </w:r>
      <w:r w:rsidRPr="004501AF">
        <w:rPr>
          <w:lang w:val="en-US"/>
        </w:rPr>
        <w:t xml:space="preserve"> </w:t>
      </w:r>
      <w:r>
        <w:t>А</w:t>
      </w:r>
      <w:r w:rsidRPr="004501AF">
        <w:rPr>
          <w:lang w:val="en-US"/>
        </w:rPr>
        <w:t>.</w:t>
      </w:r>
      <w:r>
        <w:t>Р</w:t>
      </w:r>
      <w:r w:rsidRPr="004501AF">
        <w:rPr>
          <w:lang w:val="en-US"/>
        </w:rPr>
        <w:t>.,</w:t>
      </w:r>
      <w:r w:rsidRPr="004501AF">
        <w:rPr>
          <w:vertAlign w:val="superscript"/>
          <w:lang w:val="en-US"/>
        </w:rPr>
        <w:t xml:space="preserve"> 2</w:t>
      </w:r>
      <w:r>
        <w:t>Михайловский</w:t>
      </w:r>
      <w:r w:rsidRPr="004501AF">
        <w:rPr>
          <w:lang w:val="en-US"/>
        </w:rPr>
        <w:t xml:space="preserve"> </w:t>
      </w:r>
      <w:r>
        <w:t>В</w:t>
      </w:r>
      <w:r w:rsidRPr="004501AF">
        <w:rPr>
          <w:lang w:val="en-US"/>
        </w:rPr>
        <w:t>.</w:t>
      </w:r>
      <w:r>
        <w:t>Ю</w:t>
      </w:r>
      <w:r w:rsidRPr="004501AF">
        <w:rPr>
          <w:lang w:val="en-US"/>
        </w:rPr>
        <w:t xml:space="preserve">., </w:t>
      </w:r>
      <w:r w:rsidRPr="004501AF">
        <w:rPr>
          <w:vertAlign w:val="superscript"/>
          <w:lang w:val="en-US"/>
        </w:rPr>
        <w:t>3</w:t>
      </w:r>
      <w:r>
        <w:t>Капустин</w:t>
      </w:r>
      <w:r w:rsidRPr="004501AF">
        <w:rPr>
          <w:lang w:val="en-US"/>
        </w:rPr>
        <w:t xml:space="preserve"> </w:t>
      </w:r>
      <w:r>
        <w:t>Ю</w:t>
      </w:r>
      <w:r w:rsidRPr="004501AF">
        <w:rPr>
          <w:lang w:val="en-US"/>
        </w:rPr>
        <w:t>.</w:t>
      </w:r>
      <w:r>
        <w:t>В</w:t>
      </w:r>
      <w:r w:rsidRPr="004501AF">
        <w:rPr>
          <w:lang w:val="en-US"/>
        </w:rPr>
        <w:t xml:space="preserve">., </w:t>
      </w:r>
      <w:r w:rsidRPr="004501AF">
        <w:rPr>
          <w:vertAlign w:val="superscript"/>
          <w:lang w:val="en-US"/>
        </w:rPr>
        <w:t>1</w:t>
      </w:r>
      <w:r>
        <w:t>Коваль</w:t>
      </w:r>
      <w:r w:rsidRPr="004501AF">
        <w:rPr>
          <w:lang w:val="en-US"/>
        </w:rPr>
        <w:t xml:space="preserve"> </w:t>
      </w:r>
      <w:r>
        <w:t>А</w:t>
      </w:r>
      <w:r w:rsidRPr="004501AF">
        <w:rPr>
          <w:lang w:val="en-US"/>
        </w:rPr>
        <w:t>.</w:t>
      </w:r>
      <w:r>
        <w:t>Н</w:t>
      </w:r>
      <w:r w:rsidRPr="004501AF">
        <w:rPr>
          <w:lang w:val="en-US"/>
        </w:rPr>
        <w:t xml:space="preserve">., </w:t>
      </w:r>
      <w:r w:rsidRPr="004501AF">
        <w:rPr>
          <w:vertAlign w:val="superscript"/>
          <w:lang w:val="en-US"/>
        </w:rPr>
        <w:t>1</w:t>
      </w:r>
      <w:r>
        <w:t>Толстяков</w:t>
      </w:r>
      <w:r w:rsidRPr="004501AF">
        <w:rPr>
          <w:lang w:val="en-US"/>
        </w:rPr>
        <w:t xml:space="preserve"> </w:t>
      </w:r>
      <w:r>
        <w:t>С</w:t>
      </w:r>
      <w:r w:rsidRPr="004501AF">
        <w:rPr>
          <w:lang w:val="en-US"/>
        </w:rPr>
        <w:t>.</w:t>
      </w:r>
      <w:r>
        <w:t>Ю</w:t>
      </w:r>
      <w:r w:rsidRPr="004501AF">
        <w:rPr>
          <w:lang w:val="en-US"/>
        </w:rPr>
        <w:t xml:space="preserve">., </w:t>
      </w:r>
      <w:r w:rsidRPr="004501AF">
        <w:rPr>
          <w:vertAlign w:val="superscript"/>
          <w:lang w:val="en-US"/>
        </w:rPr>
        <w:t>1</w:t>
      </w:r>
      <w:r>
        <w:t>Снигирев</w:t>
      </w:r>
      <w:r>
        <w:rPr>
          <w:lang w:val="en-US"/>
        </w:rPr>
        <w:t> </w:t>
      </w:r>
      <w:r>
        <w:t>Л</w:t>
      </w:r>
      <w:r w:rsidRPr="004501AF">
        <w:rPr>
          <w:lang w:val="en-US"/>
        </w:rPr>
        <w:t>.</w:t>
      </w:r>
      <w:r>
        <w:t>А</w:t>
      </w:r>
      <w:r w:rsidRPr="004501AF">
        <w:rPr>
          <w:lang w:val="en-US"/>
        </w:rPr>
        <w:t xml:space="preserve">., </w:t>
      </w:r>
      <w:r w:rsidRPr="004501AF">
        <w:rPr>
          <w:vertAlign w:val="superscript"/>
          <w:lang w:val="en-US"/>
        </w:rPr>
        <w:t>4</w:t>
      </w:r>
      <w:r>
        <w:t>Комаревцев</w:t>
      </w:r>
      <w:r w:rsidRPr="004501AF">
        <w:rPr>
          <w:lang w:val="en-US"/>
        </w:rPr>
        <w:t xml:space="preserve"> </w:t>
      </w:r>
      <w:r>
        <w:t>И</w:t>
      </w:r>
      <w:r w:rsidRPr="004501AF">
        <w:rPr>
          <w:lang w:val="en-US"/>
        </w:rPr>
        <w:t>.</w:t>
      </w:r>
      <w:r>
        <w:t>М</w:t>
      </w:r>
      <w:r w:rsidRPr="004501AF">
        <w:rPr>
          <w:lang w:val="en-US"/>
        </w:rPr>
        <w:t xml:space="preserve">., </w:t>
      </w:r>
      <w:r w:rsidRPr="004501AF">
        <w:rPr>
          <w:vertAlign w:val="superscript"/>
          <w:lang w:val="en-US"/>
        </w:rPr>
        <w:t>5</w:t>
      </w:r>
      <w:r>
        <w:t>Маринин</w:t>
      </w:r>
      <w:r w:rsidRPr="004501AF">
        <w:rPr>
          <w:lang w:val="en-US"/>
        </w:rPr>
        <w:t xml:space="preserve"> </w:t>
      </w:r>
      <w:r>
        <w:t>Г</w:t>
      </w:r>
      <w:r w:rsidRPr="004501AF">
        <w:rPr>
          <w:lang w:val="en-US"/>
        </w:rPr>
        <w:t>.</w:t>
      </w:r>
      <w:r>
        <w:t>В</w:t>
      </w:r>
      <w:r w:rsidRPr="004501AF">
        <w:rPr>
          <w:lang w:val="en-US"/>
        </w:rPr>
        <w:t xml:space="preserve">., </w:t>
      </w:r>
      <w:r w:rsidRPr="004501AF">
        <w:rPr>
          <w:vertAlign w:val="superscript"/>
          <w:lang w:val="en-US"/>
        </w:rPr>
        <w:t>5</w:t>
      </w:r>
      <w:r>
        <w:t>Терентьев</w:t>
      </w:r>
      <w:r w:rsidRPr="004501AF">
        <w:rPr>
          <w:lang w:val="en-US"/>
        </w:rPr>
        <w:t xml:space="preserve"> </w:t>
      </w:r>
      <w:r>
        <w:t>Д</w:t>
      </w:r>
      <w:r w:rsidRPr="004501AF">
        <w:rPr>
          <w:lang w:val="en-US"/>
        </w:rPr>
        <w:t>.</w:t>
      </w:r>
      <w:r>
        <w:t>В</w:t>
      </w:r>
      <w:r w:rsidRPr="004501AF">
        <w:rPr>
          <w:lang w:val="en-US"/>
        </w:rPr>
        <w:t xml:space="preserve">., </w:t>
      </w:r>
      <w:r w:rsidRPr="004501AF">
        <w:rPr>
          <w:vertAlign w:val="superscript"/>
          <w:lang w:val="en-US"/>
        </w:rPr>
        <w:t>6</w:t>
      </w:r>
      <w:r>
        <w:t>Городецкий</w:t>
      </w:r>
      <w:r>
        <w:rPr>
          <w:lang w:val="en-US"/>
        </w:rPr>
        <w:t> </w:t>
      </w:r>
      <w:r>
        <w:t>А</w:t>
      </w:r>
      <w:r w:rsidRPr="004501AF">
        <w:rPr>
          <w:lang w:val="en-US"/>
        </w:rPr>
        <w:t>.</w:t>
      </w:r>
      <w:r>
        <w:t>Е</w:t>
      </w:r>
      <w:r w:rsidRPr="004501AF">
        <w:rPr>
          <w:lang w:val="en-US"/>
        </w:rPr>
        <w:t xml:space="preserve">., </w:t>
      </w:r>
      <w:r w:rsidRPr="004501AF">
        <w:rPr>
          <w:vertAlign w:val="superscript"/>
          <w:lang w:val="en-US"/>
        </w:rPr>
        <w:t>6</w:t>
      </w:r>
      <w:r>
        <w:t>Залавутдинов</w:t>
      </w:r>
      <w:r w:rsidRPr="004501AF">
        <w:rPr>
          <w:lang w:val="en-US"/>
        </w:rPr>
        <w:t xml:space="preserve"> </w:t>
      </w:r>
      <w:r>
        <w:t>Р</w:t>
      </w:r>
      <w:r w:rsidRPr="004501AF">
        <w:rPr>
          <w:lang w:val="en-US"/>
        </w:rPr>
        <w:t>.</w:t>
      </w:r>
      <w:r>
        <w:t>Х</w:t>
      </w:r>
      <w:r w:rsidRPr="004501AF">
        <w:rPr>
          <w:lang w:val="en-US"/>
        </w:rPr>
        <w:t xml:space="preserve">., </w:t>
      </w:r>
      <w:r w:rsidRPr="004501AF">
        <w:rPr>
          <w:vertAlign w:val="superscript"/>
          <w:lang w:val="en-US"/>
        </w:rPr>
        <w:t>6</w:t>
      </w:r>
      <w:r>
        <w:t>Маркин</w:t>
      </w:r>
      <w:r w:rsidRPr="004501AF">
        <w:rPr>
          <w:lang w:val="en-US"/>
        </w:rPr>
        <w:t xml:space="preserve"> </w:t>
      </w:r>
      <w:r>
        <w:t>А</w:t>
      </w:r>
      <w:r w:rsidRPr="004501AF">
        <w:rPr>
          <w:lang w:val="en-US"/>
        </w:rPr>
        <w:t>.</w:t>
      </w:r>
      <w:r>
        <w:t>В</w:t>
      </w:r>
      <w:r w:rsidRPr="004501AF">
        <w:rPr>
          <w:lang w:val="en-US"/>
        </w:rPr>
        <w:t xml:space="preserve">., </w:t>
      </w:r>
      <w:r w:rsidRPr="004501AF">
        <w:rPr>
          <w:vertAlign w:val="superscript"/>
          <w:lang w:val="en-US"/>
        </w:rPr>
        <w:t>6</w:t>
      </w:r>
      <w:r>
        <w:t>Буховец</w:t>
      </w:r>
      <w:r w:rsidRPr="004501AF">
        <w:rPr>
          <w:lang w:val="en-US"/>
        </w:rPr>
        <w:t xml:space="preserve"> </w:t>
      </w:r>
      <w:r>
        <w:t>В</w:t>
      </w:r>
      <w:r w:rsidRPr="004501AF">
        <w:rPr>
          <w:lang w:val="en-US"/>
        </w:rPr>
        <w:t>.</w:t>
      </w:r>
      <w:r>
        <w:t>Л</w:t>
      </w:r>
      <w:r w:rsidRPr="004501AF">
        <w:rPr>
          <w:lang w:val="en-US"/>
        </w:rPr>
        <w:t xml:space="preserve">., </w:t>
      </w:r>
      <w:r w:rsidRPr="004501AF">
        <w:rPr>
          <w:vertAlign w:val="superscript"/>
          <w:lang w:val="en-US"/>
        </w:rPr>
        <w:t>4</w:t>
      </w:r>
      <w:r>
        <w:t>Модестов</w:t>
      </w:r>
      <w:r w:rsidRPr="004501AF">
        <w:rPr>
          <w:lang w:val="en-US"/>
        </w:rPr>
        <w:t xml:space="preserve"> </w:t>
      </w:r>
      <w:r>
        <w:t>В</w:t>
      </w:r>
      <w:r w:rsidRPr="004501AF">
        <w:rPr>
          <w:lang w:val="en-US"/>
        </w:rPr>
        <w:t>.</w:t>
      </w:r>
      <w:r>
        <w:t>С</w:t>
      </w:r>
      <w:r w:rsidRPr="004501AF">
        <w:rPr>
          <w:lang w:val="en-US"/>
        </w:rPr>
        <w:t xml:space="preserve">., </w:t>
      </w:r>
      <w:r w:rsidRPr="004501AF">
        <w:rPr>
          <w:vertAlign w:val="superscript"/>
          <w:lang w:val="en-US"/>
        </w:rPr>
        <w:t>4</w:t>
      </w:r>
      <w:r>
        <w:t>Кириенко</w:t>
      </w:r>
      <w:r w:rsidRPr="004501AF">
        <w:rPr>
          <w:lang w:val="en-US"/>
        </w:rPr>
        <w:t xml:space="preserve"> </w:t>
      </w:r>
      <w:r>
        <w:t>И</w:t>
      </w:r>
      <w:r w:rsidRPr="004501AF">
        <w:rPr>
          <w:lang w:val="en-US"/>
        </w:rPr>
        <w:t>.</w:t>
      </w:r>
      <w:r>
        <w:t>Д</w:t>
      </w:r>
      <w:r w:rsidRPr="004501AF">
        <w:rPr>
          <w:lang w:val="en-US"/>
        </w:rPr>
        <w:t xml:space="preserve">., </w:t>
      </w:r>
      <w:r w:rsidRPr="004501AF">
        <w:rPr>
          <w:vertAlign w:val="superscript"/>
          <w:lang w:val="en-US"/>
        </w:rPr>
        <w:t>4</w:t>
      </w:r>
      <w:r>
        <w:t>Буслаков</w:t>
      </w:r>
      <w:r w:rsidRPr="004501AF">
        <w:rPr>
          <w:lang w:val="en-US"/>
        </w:rPr>
        <w:t xml:space="preserve"> </w:t>
      </w:r>
      <w:r>
        <w:t>И</w:t>
      </w:r>
      <w:r w:rsidRPr="004501AF">
        <w:rPr>
          <w:lang w:val="en-US"/>
        </w:rPr>
        <w:t>.</w:t>
      </w:r>
      <w:r>
        <w:t>В</w:t>
      </w:r>
      <w:r w:rsidRPr="004501AF">
        <w:rPr>
          <w:lang w:val="en-US"/>
        </w:rPr>
        <w:t xml:space="preserve">., </w:t>
      </w:r>
      <w:r w:rsidRPr="004501AF">
        <w:rPr>
          <w:vertAlign w:val="superscript"/>
          <w:lang w:val="en-US"/>
        </w:rPr>
        <w:t>7</w:t>
      </w:r>
      <w:r>
        <w:t>Чернаков</w:t>
      </w:r>
      <w:r w:rsidRPr="004501AF">
        <w:rPr>
          <w:lang w:val="en-US"/>
        </w:rPr>
        <w:t xml:space="preserve"> </w:t>
      </w:r>
      <w:r>
        <w:t>П</w:t>
      </w:r>
      <w:r w:rsidRPr="004501AF">
        <w:rPr>
          <w:lang w:val="en-US"/>
        </w:rPr>
        <w:t>.</w:t>
      </w:r>
      <w:r>
        <w:t>В</w:t>
      </w:r>
      <w:r w:rsidRPr="004501AF">
        <w:rPr>
          <w:lang w:val="en-US"/>
        </w:rPr>
        <w:t xml:space="preserve">., </w:t>
      </w:r>
      <w:r w:rsidRPr="004501AF">
        <w:rPr>
          <w:vertAlign w:val="superscript"/>
          <w:lang w:val="en-US"/>
        </w:rPr>
        <w:t>8</w:t>
      </w:r>
      <w:r>
        <w:t>Мокеев</w:t>
      </w:r>
      <w:r w:rsidRPr="004501AF">
        <w:rPr>
          <w:lang w:val="en-US"/>
        </w:rPr>
        <w:t xml:space="preserve"> </w:t>
      </w:r>
      <w:r>
        <w:t>А</w:t>
      </w:r>
      <w:r w:rsidRPr="004501AF">
        <w:rPr>
          <w:lang w:val="en-US"/>
        </w:rPr>
        <w:t>.</w:t>
      </w:r>
      <w:r>
        <w:t>Н</w:t>
      </w:r>
      <w:r w:rsidRPr="004501AF">
        <w:rPr>
          <w:lang w:val="en-US"/>
        </w:rPr>
        <w:t>.</w:t>
      </w:r>
    </w:p>
    <w:p w:rsidR="008A146D" w:rsidRPr="005C5B66" w:rsidRDefault="008A146D" w:rsidP="004501AF">
      <w:pPr>
        <w:pStyle w:val="Zv-Organization"/>
        <w:spacing w:line="223" w:lineRule="auto"/>
      </w:pPr>
      <w:bookmarkStart w:id="0" w:name="_Hlk120793229"/>
      <w:r w:rsidRPr="007C2E31">
        <w:rPr>
          <w:vertAlign w:val="superscript"/>
        </w:rPr>
        <w:t>1</w:t>
      </w:r>
      <w:r w:rsidRPr="007C2E31">
        <w:t>ФТИ им.</w:t>
      </w:r>
      <w:r>
        <w:t xml:space="preserve"> </w:t>
      </w:r>
      <w:r w:rsidRPr="007C2E31">
        <w:t>А.Ф.</w:t>
      </w:r>
      <w:r>
        <w:t xml:space="preserve"> </w:t>
      </w:r>
      <w:r w:rsidRPr="007C2E31">
        <w:t xml:space="preserve">Иоффе, </w:t>
      </w:r>
      <w:r>
        <w:t xml:space="preserve">г. </w:t>
      </w:r>
      <w:r w:rsidRPr="007C2E31">
        <w:t>Санкт-Петербург, Россия</w:t>
      </w:r>
      <w:r>
        <w:br/>
      </w:r>
      <w:r w:rsidRPr="007C2E31">
        <w:rPr>
          <w:vertAlign w:val="superscript"/>
        </w:rPr>
        <w:t>2</w:t>
      </w:r>
      <w:r w:rsidRPr="007C2E31">
        <w:t xml:space="preserve">Институт химии СПбГУ, </w:t>
      </w:r>
      <w:r>
        <w:t xml:space="preserve">г. </w:t>
      </w:r>
      <w:r w:rsidRPr="007C2E31">
        <w:t>Санкт-Петербург, Россия</w:t>
      </w:r>
      <w:r>
        <w:br/>
      </w:r>
      <w:r w:rsidRPr="007C2E31">
        <w:rPr>
          <w:vertAlign w:val="superscript"/>
        </w:rPr>
        <w:t>3</w:t>
      </w:r>
      <w:r w:rsidRPr="007C2E31">
        <w:t xml:space="preserve">НИЦ «Курчатовский институт», </w:t>
      </w:r>
      <w:r>
        <w:t xml:space="preserve">г. </w:t>
      </w:r>
      <w:r w:rsidRPr="007C2E31">
        <w:t>Москва, Россия</w:t>
      </w:r>
      <w:r>
        <w:br/>
      </w:r>
      <w:r w:rsidRPr="007C2E31">
        <w:rPr>
          <w:vertAlign w:val="superscript"/>
        </w:rPr>
        <w:t>4</w:t>
      </w:r>
      <w:r w:rsidRPr="007C2E31">
        <w:t xml:space="preserve">СПбПУ, </w:t>
      </w:r>
      <w:r>
        <w:t xml:space="preserve">г. </w:t>
      </w:r>
      <w:r w:rsidRPr="007C2E31">
        <w:t>Санкт-Петербург, Россия</w:t>
      </w:r>
      <w:r>
        <w:br/>
      </w:r>
      <w:r w:rsidRPr="007C2E31">
        <w:rPr>
          <w:vertAlign w:val="superscript"/>
        </w:rPr>
        <w:t>5</w:t>
      </w:r>
      <w:r w:rsidRPr="007C2E31">
        <w:t xml:space="preserve">Русские Технологии, </w:t>
      </w:r>
      <w:r>
        <w:t xml:space="preserve">г. </w:t>
      </w:r>
      <w:r w:rsidRPr="007C2E31">
        <w:t>Санкт-Петербург, Россия</w:t>
      </w:r>
      <w:r>
        <w:br/>
      </w:r>
      <w:r w:rsidRPr="007C2E31">
        <w:rPr>
          <w:vertAlign w:val="superscript"/>
        </w:rPr>
        <w:t>6</w:t>
      </w:r>
      <w:r w:rsidRPr="007C2E31">
        <w:t xml:space="preserve">ИФХЭ РАН, </w:t>
      </w:r>
      <w:r>
        <w:t xml:space="preserve">г. </w:t>
      </w:r>
      <w:r w:rsidRPr="007C2E31">
        <w:t>Москва, Россия</w:t>
      </w:r>
      <w:r>
        <w:br/>
      </w:r>
      <w:r w:rsidRPr="007C2E31">
        <w:rPr>
          <w:vertAlign w:val="superscript"/>
        </w:rPr>
        <w:t>7</w:t>
      </w:r>
      <w:r w:rsidRPr="007C2E31">
        <w:t xml:space="preserve">АО «Спектрал-Тех», </w:t>
      </w:r>
      <w:r>
        <w:t xml:space="preserve">г. </w:t>
      </w:r>
      <w:r w:rsidRPr="007C2E31">
        <w:t>Санкт-Петербург, Россия</w:t>
      </w:r>
      <w:r>
        <w:br/>
      </w:r>
      <w:r>
        <w:rPr>
          <w:vertAlign w:val="superscript"/>
        </w:rPr>
        <w:t>8</w:t>
      </w:r>
      <w:r w:rsidRPr="00911D9C">
        <w:t>Ч</w:t>
      </w:r>
      <w:r>
        <w:t>У</w:t>
      </w:r>
      <w:r w:rsidRPr="00911D9C">
        <w:t xml:space="preserve"> ГК Рос</w:t>
      </w:r>
      <w:r>
        <w:t>а</w:t>
      </w:r>
      <w:r w:rsidRPr="00911D9C">
        <w:t xml:space="preserve">том «Проектный центр ИТЭР», </w:t>
      </w:r>
      <w:r>
        <w:t xml:space="preserve">г. </w:t>
      </w:r>
      <w:r w:rsidRPr="00911D9C">
        <w:t>Москва, Р</w:t>
      </w:r>
      <w:r>
        <w:t>оссия</w:t>
      </w:r>
    </w:p>
    <w:bookmarkEnd w:id="0"/>
    <w:p w:rsidR="008A146D" w:rsidRDefault="008A146D" w:rsidP="004501AF">
      <w:pPr>
        <w:pStyle w:val="Zv-bodyreport"/>
        <w:spacing w:line="223" w:lineRule="auto"/>
      </w:pPr>
      <w:r w:rsidRPr="00D60F02">
        <w:t>Собирающ</w:t>
      </w:r>
      <w:r>
        <w:t>ие</w:t>
      </w:r>
      <w:r w:rsidRPr="00D60F02">
        <w:t xml:space="preserve"> систем</w:t>
      </w:r>
      <w:r>
        <w:t>ы</w:t>
      </w:r>
      <w:r w:rsidRPr="00D60F02">
        <w:t xml:space="preserve"> оптических диагностик</w:t>
      </w:r>
      <w:r>
        <w:t xml:space="preserve"> </w:t>
      </w:r>
      <w:r w:rsidRPr="00D60F02">
        <w:t>ИТЭР</w:t>
      </w:r>
      <w:r>
        <w:t xml:space="preserve"> </w:t>
      </w:r>
      <w:r w:rsidRPr="00D60F02">
        <w:t>должны обеспечить долговременную оптическую стабильность в условиях значительных эксплуатационных, радиационных, тепловых и прочих нагрузок</w:t>
      </w:r>
      <w:r>
        <w:t xml:space="preserve">. Такие системы </w:t>
      </w:r>
      <w:r w:rsidRPr="00D60F02">
        <w:t xml:space="preserve">содержат значительное количество </w:t>
      </w:r>
      <w:r>
        <w:t>зеркал</w:t>
      </w:r>
      <w:r w:rsidRPr="00D60F02">
        <w:t>, что предъявляет высокие требования к коэффициенту отражения каждого зеркала</w:t>
      </w:r>
      <w:r>
        <w:t xml:space="preserve"> </w:t>
      </w:r>
      <w:r w:rsidRPr="00BA7445">
        <w:t>[1]</w:t>
      </w:r>
      <w:r w:rsidRPr="00D60F02">
        <w:t>.</w:t>
      </w:r>
      <w:r w:rsidRPr="00052BFC">
        <w:t xml:space="preserve"> </w:t>
      </w:r>
      <w:r>
        <w:t xml:space="preserve">Одной из возможных причин деградации оптической поверхности зеркал является аварийный выброс пара. В случае такой аварии все элементы вакуумного объема ИТЭР продолжительное время </w:t>
      </w:r>
      <w:r w:rsidRPr="00D60F02">
        <w:t>наход</w:t>
      </w:r>
      <w:r>
        <w:t>я</w:t>
      </w:r>
      <w:r w:rsidRPr="00D60F02">
        <w:t>тся под воздействием высокой влажности</w:t>
      </w:r>
      <w:r>
        <w:t xml:space="preserve"> более 90% и </w:t>
      </w:r>
      <w:r w:rsidRPr="00D60F02">
        <w:t>температур более 2</w:t>
      </w:r>
      <w:r>
        <w:t>4</w:t>
      </w:r>
      <w:r w:rsidRPr="00D60F02">
        <w:t>0°</w:t>
      </w:r>
      <w:r w:rsidRPr="00750BA5">
        <w:t>C</w:t>
      </w:r>
      <w:r w:rsidRPr="00D60F02">
        <w:t>.</w:t>
      </w:r>
    </w:p>
    <w:p w:rsidR="008A146D" w:rsidRPr="0067185B" w:rsidRDefault="008A146D" w:rsidP="004501AF">
      <w:pPr>
        <w:pStyle w:val="Zv-bodyreport"/>
        <w:spacing w:line="223" w:lineRule="auto"/>
      </w:pPr>
      <w:r>
        <w:t>Н</w:t>
      </w:r>
      <w:r w:rsidRPr="00D60F02">
        <w:t xml:space="preserve">аиболее подходящим материалом </w:t>
      </w:r>
      <w:r>
        <w:t xml:space="preserve">с точки зрения коэффициента отражения в видимой и ближней ИК области </w:t>
      </w:r>
      <w:r w:rsidRPr="00D60F02">
        <w:t xml:space="preserve">является </w:t>
      </w:r>
      <w:r w:rsidRPr="00750BA5">
        <w:t>Ag</w:t>
      </w:r>
      <w:r w:rsidRPr="00D60F02">
        <w:t xml:space="preserve">. </w:t>
      </w:r>
      <w:r>
        <w:t xml:space="preserve">Известно, что на </w:t>
      </w:r>
      <w:r w:rsidRPr="00750BA5">
        <w:t>Ag</w:t>
      </w:r>
      <w:r w:rsidRPr="00D60F02">
        <w:t xml:space="preserve"> </w:t>
      </w:r>
      <w:r>
        <w:t xml:space="preserve">необходимо формировать защитное покрытием, поскольку оно </w:t>
      </w:r>
      <w:r w:rsidRPr="00D60F02">
        <w:t>подвержен</w:t>
      </w:r>
      <w:r>
        <w:t>о</w:t>
      </w:r>
      <w:r w:rsidRPr="00D60F02">
        <w:t xml:space="preserve"> коррозии </w:t>
      </w:r>
      <w:r>
        <w:t>при</w:t>
      </w:r>
      <w:r w:rsidRPr="00D60F02">
        <w:t xml:space="preserve"> воздействи</w:t>
      </w:r>
      <w:r>
        <w:t>и</w:t>
      </w:r>
      <w:r w:rsidRPr="00D60F02">
        <w:t xml:space="preserve"> </w:t>
      </w:r>
      <w:r>
        <w:t xml:space="preserve">ионов </w:t>
      </w:r>
      <w:r w:rsidRPr="00750BA5">
        <w:t>H</w:t>
      </w:r>
      <w:r w:rsidRPr="00C24387">
        <w:rPr>
          <w:vertAlign w:val="superscript"/>
        </w:rPr>
        <w:t>+</w:t>
      </w:r>
      <w:r w:rsidRPr="005E3CD7">
        <w:t xml:space="preserve"> </w:t>
      </w:r>
      <w:r>
        <w:t xml:space="preserve">и </w:t>
      </w:r>
      <w:r w:rsidRPr="00750BA5">
        <w:t>OH</w:t>
      </w:r>
      <w:r w:rsidRPr="00C24387">
        <w:rPr>
          <w:vertAlign w:val="superscript"/>
        </w:rPr>
        <w:t>-</w:t>
      </w:r>
      <w:r w:rsidRPr="00D60F02">
        <w:t xml:space="preserve">, присутствующих в </w:t>
      </w:r>
      <w:r>
        <w:t xml:space="preserve">водяном </w:t>
      </w:r>
      <w:r w:rsidRPr="00D60F02">
        <w:t>паре [</w:t>
      </w:r>
      <w:r>
        <w:t>2</w:t>
      </w:r>
      <w:r w:rsidRPr="00D60F02">
        <w:t>]</w:t>
      </w:r>
      <w:r>
        <w:t xml:space="preserve">. В качестве типа защиты отражающего слоя </w:t>
      </w:r>
      <w:r w:rsidRPr="00750BA5">
        <w:t>Ag</w:t>
      </w:r>
      <w:r>
        <w:t xml:space="preserve"> выбран барьерный – формирование тонкого многослойного диэлектрического покрытия, полной толщиной не более 30 нм, что значительно меньше длин волн из рабочего диапазона и потому не повержено влиянию явления интерференции.</w:t>
      </w:r>
      <w:r w:rsidRPr="0067185B">
        <w:t xml:space="preserve"> </w:t>
      </w:r>
      <w:r>
        <w:t>Проведенные эксперименты показали, что увеличение количества интерфейсов в защитном покрытии уменьшает падение отражения после экспозиции в паре и при 7 слоях оно практически отсутствует. Это можно объяснить тем, что наличие большего числа интерфейсов приводит к замедлению протекания коррозии.</w:t>
      </w:r>
    </w:p>
    <w:p w:rsidR="008A146D" w:rsidRDefault="008A146D" w:rsidP="004501AF">
      <w:pPr>
        <w:pStyle w:val="Zv-bodyreport"/>
        <w:spacing w:line="223" w:lineRule="auto"/>
      </w:pPr>
      <w:r>
        <w:t xml:space="preserve">Помимо оптического покрытия на отражающую способность зеркал оказывает влияние качество подготовки поверхности перед напылением. Поскольку абразивное полирование </w:t>
      </w:r>
      <w:r w:rsidRPr="00750BA5">
        <w:t>SS</w:t>
      </w:r>
      <w:r w:rsidRPr="002074C7">
        <w:t xml:space="preserve"> 316</w:t>
      </w:r>
      <w:r w:rsidRPr="00750BA5">
        <w:t>L</w:t>
      </w:r>
      <w:r w:rsidRPr="002074C7">
        <w:t>(</w:t>
      </w:r>
      <w:r w:rsidRPr="00750BA5">
        <w:t>N</w:t>
      </w:r>
      <w:r w:rsidRPr="002074C7">
        <w:t>)-</w:t>
      </w:r>
      <w:r w:rsidRPr="00750BA5">
        <w:t>IG</w:t>
      </w:r>
      <w:r>
        <w:t xml:space="preserve"> приводит к образованию нарушенного слоя глубиной порядка 0.3 мкм, а также ухудшению качества поверхности на краях, то наиболее перспективным методом полирования является магнито-реологическая полировка (МРП), где эти проблемы отсутствуют.</w:t>
      </w:r>
    </w:p>
    <w:p w:rsidR="008A146D" w:rsidRDefault="008A146D" w:rsidP="004501AF">
      <w:pPr>
        <w:pStyle w:val="Zv-bodyreport"/>
        <w:spacing w:line="223" w:lineRule="auto"/>
      </w:pPr>
      <w:r>
        <w:t xml:space="preserve">В качестве оценки качества полирования, с точки зрения использования данного зеркала в системе сбора излучения, применен </w:t>
      </w:r>
      <w:r w:rsidRPr="00750BA5">
        <w:t>математический аппарат, в основе которого лежит так называемая двулучевая функция отражательной способности (ДФОС).</w:t>
      </w:r>
    </w:p>
    <w:p w:rsidR="008A146D" w:rsidRPr="00750BA5" w:rsidRDefault="008A146D" w:rsidP="004501AF">
      <w:pPr>
        <w:pStyle w:val="Zv-bodyreport"/>
        <w:spacing w:before="120" w:line="223" w:lineRule="auto"/>
      </w:pPr>
      <w:r w:rsidRPr="00E958F6">
        <w:t>Доклад подготовлен как отчет о работе для Организации ИТЭР (контракт Росатома № ◦ Н.4а.241.19.22.) и поддержан ФТИ им Иоффе (государственное задание РФ 0034–2019–0001).</w:t>
      </w:r>
    </w:p>
    <w:p w:rsidR="008A146D" w:rsidRPr="0008514F" w:rsidRDefault="008A146D" w:rsidP="004501AF">
      <w:pPr>
        <w:pStyle w:val="Zv-TitleReferences-ru"/>
        <w:spacing w:line="223" w:lineRule="auto"/>
      </w:pPr>
      <w:r w:rsidRPr="0008514F">
        <w:t>Литература</w:t>
      </w:r>
    </w:p>
    <w:p w:rsidR="008A146D" w:rsidRPr="007124CC" w:rsidRDefault="008A146D" w:rsidP="004501AF">
      <w:pPr>
        <w:pStyle w:val="Zv-References-ru"/>
        <w:spacing w:line="223" w:lineRule="auto"/>
      </w:pPr>
      <w:r w:rsidRPr="004501AF">
        <w:rPr>
          <w:lang w:val="en-US"/>
        </w:rPr>
        <w:t xml:space="preserve">Samsonov D.S. et al. Large-Scale Collecting Mirrors for ITER Optical Diagnostic // Nuclear Fusion. </w:t>
      </w:r>
      <w:r w:rsidRPr="007124CC">
        <w:t xml:space="preserve">62, </w:t>
      </w:r>
      <w:r>
        <w:t xml:space="preserve">2022. </w:t>
      </w:r>
      <w:r w:rsidRPr="007124CC">
        <w:t>no. 8</w:t>
      </w:r>
      <w:r>
        <w:t xml:space="preserve"> p. </w:t>
      </w:r>
      <w:r w:rsidRPr="007124CC">
        <w:t>086014</w:t>
      </w:r>
    </w:p>
    <w:p w:rsidR="008A146D" w:rsidRPr="007124CC" w:rsidRDefault="008A146D" w:rsidP="004501AF">
      <w:pPr>
        <w:pStyle w:val="Zv-References-ru"/>
        <w:spacing w:line="223" w:lineRule="auto"/>
      </w:pPr>
      <w:r w:rsidRPr="004501AF">
        <w:rPr>
          <w:lang w:val="en-US"/>
        </w:rPr>
        <w:t xml:space="preserve">Folgner K. A. et al. Development and Growth of Corrosion Features on Protected Silver Mirrors during Accelerated Environmental Exposure // Applied Optics. </w:t>
      </w:r>
      <w:r w:rsidRPr="007124CC">
        <w:t>59</w:t>
      </w:r>
      <w:r>
        <w:t xml:space="preserve">. </w:t>
      </w:r>
      <w:r w:rsidRPr="007124CC">
        <w:t>2020</w:t>
      </w:r>
      <w:r>
        <w:t xml:space="preserve">. </w:t>
      </w:r>
      <w:r w:rsidRPr="007124CC">
        <w:t xml:space="preserve"> no. 5</w:t>
      </w:r>
      <w:r>
        <w:t>.</w:t>
      </w:r>
      <w:r w:rsidRPr="007124CC">
        <w:t xml:space="preserve"> A187</w:t>
      </w:r>
    </w:p>
    <w:sectPr w:rsidR="008A146D" w:rsidRPr="007124C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517" w:rsidRDefault="00F30517">
      <w:r>
        <w:separator/>
      </w:r>
    </w:p>
  </w:endnote>
  <w:endnote w:type="continuationSeparator" w:id="0">
    <w:p w:rsidR="00F30517" w:rsidRDefault="00F30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D0DC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8A146D" w:rsidRDefault="008A146D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315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517" w:rsidRDefault="00F30517">
      <w:r>
        <w:separator/>
      </w:r>
    </w:p>
  </w:footnote>
  <w:footnote w:type="continuationSeparator" w:id="0">
    <w:p w:rsidR="00F30517" w:rsidRDefault="00F30517">
      <w:r>
        <w:continuationSeparator/>
      </w:r>
    </w:p>
  </w:footnote>
  <w:footnote w:id="1">
    <w:p w:rsidR="004501AF" w:rsidRPr="004501AF" w:rsidRDefault="004501AF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4501AF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8A146D">
      <w:rPr>
        <w:sz w:val="20"/>
      </w:rPr>
      <w:t>20</w:t>
    </w:r>
    <w:r w:rsidR="00C62CFE">
      <w:rPr>
        <w:sz w:val="20"/>
      </w:rPr>
      <w:t xml:space="preserve"> – </w:t>
    </w:r>
    <w:r w:rsidR="00700C3A" w:rsidRPr="008A146D">
      <w:rPr>
        <w:sz w:val="20"/>
      </w:rPr>
      <w:t>2</w:t>
    </w:r>
    <w:r w:rsidR="00577A8A" w:rsidRPr="008A146D">
      <w:rPr>
        <w:sz w:val="20"/>
      </w:rPr>
      <w:t>4</w:t>
    </w:r>
    <w:r w:rsidR="00C62CFE">
      <w:rPr>
        <w:sz w:val="20"/>
      </w:rPr>
      <w:t xml:space="preserve"> марта 20</w:t>
    </w:r>
    <w:r w:rsidR="00C62CFE" w:rsidRPr="008A146D">
      <w:rPr>
        <w:sz w:val="20"/>
      </w:rPr>
      <w:t>2</w:t>
    </w:r>
    <w:r w:rsidR="00700C3A" w:rsidRPr="008A146D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9D0DC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8582D"/>
    <w:rsid w:val="00037DCC"/>
    <w:rsid w:val="00043701"/>
    <w:rsid w:val="0008582D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501AF"/>
    <w:rsid w:val="004A77D1"/>
    <w:rsid w:val="004B72AA"/>
    <w:rsid w:val="004F4E29"/>
    <w:rsid w:val="005128A7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A146D"/>
    <w:rsid w:val="008E2894"/>
    <w:rsid w:val="009352E6"/>
    <w:rsid w:val="0094721E"/>
    <w:rsid w:val="009551FC"/>
    <w:rsid w:val="009D0DCA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86F71"/>
    <w:rsid w:val="00DA4715"/>
    <w:rsid w:val="00DE16AD"/>
    <w:rsid w:val="00DF1C1D"/>
    <w:rsid w:val="00DF6D4D"/>
    <w:rsid w:val="00E1331D"/>
    <w:rsid w:val="00E7021A"/>
    <w:rsid w:val="00E87733"/>
    <w:rsid w:val="00F30517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8A146D"/>
    <w:rPr>
      <w:sz w:val="24"/>
      <w:szCs w:val="24"/>
    </w:rPr>
  </w:style>
  <w:style w:type="paragraph" w:styleId="a7">
    <w:name w:val="footnote text"/>
    <w:basedOn w:val="a"/>
    <w:link w:val="a8"/>
    <w:rsid w:val="004501AF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501AF"/>
  </w:style>
  <w:style w:type="character" w:styleId="a9">
    <w:name w:val="footnote reference"/>
    <w:basedOn w:val="a0"/>
    <w:rsid w:val="004501AF"/>
    <w:rPr>
      <w:vertAlign w:val="superscript"/>
    </w:rPr>
  </w:style>
  <w:style w:type="character" w:styleId="aa">
    <w:name w:val="Hyperlink"/>
    <w:basedOn w:val="a0"/>
    <w:rsid w:val="004501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KG-Tereshch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C9C99-190A-424A-95F3-386AD10A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17</TotalTime>
  <Pages>1</Pages>
  <Words>435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КРУПНОГАБАРИТНЫЕ СОБИРАЮЩИЕ ЗЕРКАЛА ДЛЯ ДИАГНОСТИКИ ТОМСОНОВСКОГО РАССЕЯНИЯ В ДИВЕРТОРЕ ИТЭР</dc:title>
  <dc:creator/>
  <cp:lastModifiedBy>Сатунин</cp:lastModifiedBy>
  <cp:revision>4</cp:revision>
  <cp:lastPrinted>1601-01-01T00:00:00Z</cp:lastPrinted>
  <dcterms:created xsi:type="dcterms:W3CDTF">2023-02-27T13:37:00Z</dcterms:created>
  <dcterms:modified xsi:type="dcterms:W3CDTF">2023-05-23T11:25:00Z</dcterms:modified>
</cp:coreProperties>
</file>