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C6" w:rsidRPr="007A5355" w:rsidRDefault="00AB09C6" w:rsidP="00AB09C6">
      <w:pPr>
        <w:pStyle w:val="Zv-Titlereport"/>
      </w:pPr>
      <w:r>
        <w:t>РАБОТОСПОСОБНОСТЬ КОМПОНЕНТОВ СИСТЕМЫ БЫСТРОГО ЗАЩИТНОГО ВЫВОДА ЭНЕРГИИ В РАССЕЯНОМ МАГНИТНОМ ПОЛЕ РЕАКТОРНОГО ЗАЛА ИТЭР</w:t>
      </w:r>
      <w:r w:rsidR="007A5355" w:rsidRPr="007A5355">
        <w:t xml:space="preserve"> </w:t>
      </w:r>
      <w:r w:rsidR="007A5355">
        <w:rPr>
          <w:rStyle w:val="aa"/>
        </w:rPr>
        <w:footnoteReference w:customMarkFollows="1" w:id="1"/>
        <w:t>*)</w:t>
      </w:r>
    </w:p>
    <w:p w:rsidR="00AB09C6" w:rsidRPr="007A5355" w:rsidRDefault="00AB09C6" w:rsidP="00AB09C6">
      <w:pPr>
        <w:pStyle w:val="Zv-Author"/>
        <w:rPr>
          <w:vertAlign w:val="superscript"/>
          <w:lang w:val="en-US"/>
        </w:rPr>
      </w:pPr>
      <w:r>
        <w:t>Нечаев</w:t>
      </w:r>
      <w:r w:rsidRPr="007A5355">
        <w:rPr>
          <w:lang w:val="en-US"/>
        </w:rPr>
        <w:t xml:space="preserve"> </w:t>
      </w:r>
      <w:r>
        <w:t>Н</w:t>
      </w:r>
      <w:r w:rsidRPr="007A5355">
        <w:rPr>
          <w:lang w:val="en-US"/>
        </w:rPr>
        <w:t>.</w:t>
      </w:r>
      <w:r>
        <w:t>Е</w:t>
      </w:r>
      <w:r w:rsidRPr="007A5355">
        <w:rPr>
          <w:lang w:val="en-US"/>
        </w:rPr>
        <w:t xml:space="preserve">., </w:t>
      </w:r>
      <w:r>
        <w:t>Александров</w:t>
      </w:r>
      <w:r w:rsidRPr="007A5355">
        <w:rPr>
          <w:lang w:val="en-US"/>
        </w:rPr>
        <w:t xml:space="preserve"> </w:t>
      </w:r>
      <w:r>
        <w:t>Е</w:t>
      </w:r>
      <w:r w:rsidRPr="007A5355">
        <w:rPr>
          <w:lang w:val="en-US"/>
        </w:rPr>
        <w:t>.</w:t>
      </w:r>
      <w:r>
        <w:t>С</w:t>
      </w:r>
      <w:r w:rsidRPr="007A5355">
        <w:rPr>
          <w:lang w:val="en-US"/>
        </w:rPr>
        <w:t xml:space="preserve">., </w:t>
      </w:r>
      <w:r>
        <w:t>Власов</w:t>
      </w:r>
      <w:r w:rsidRPr="007A5355">
        <w:rPr>
          <w:lang w:val="en-US"/>
        </w:rPr>
        <w:t xml:space="preserve"> </w:t>
      </w:r>
      <w:r>
        <w:t>А</w:t>
      </w:r>
      <w:r w:rsidRPr="007A5355">
        <w:rPr>
          <w:lang w:val="en-US"/>
        </w:rPr>
        <w:t>.</w:t>
      </w:r>
      <w:r>
        <w:t>Ю</w:t>
      </w:r>
      <w:r w:rsidRPr="007A5355">
        <w:rPr>
          <w:lang w:val="en-US"/>
        </w:rPr>
        <w:t xml:space="preserve">., </w:t>
      </w:r>
      <w:r>
        <w:t>Китаев</w:t>
      </w:r>
      <w:r w:rsidRPr="007A5355">
        <w:rPr>
          <w:lang w:val="en-US"/>
        </w:rPr>
        <w:t xml:space="preserve"> </w:t>
      </w:r>
      <w:r>
        <w:t>Б</w:t>
      </w:r>
      <w:r w:rsidRPr="007A5355">
        <w:rPr>
          <w:lang w:val="en-US"/>
        </w:rPr>
        <w:t>.</w:t>
      </w:r>
      <w:r>
        <w:t>А</w:t>
      </w:r>
      <w:r w:rsidRPr="007A5355">
        <w:rPr>
          <w:lang w:val="en-US"/>
        </w:rPr>
        <w:t xml:space="preserve">., </w:t>
      </w:r>
      <w:r>
        <w:t>Крюков</w:t>
      </w:r>
      <w:r w:rsidRPr="007A5355">
        <w:rPr>
          <w:lang w:val="en-US"/>
        </w:rPr>
        <w:t xml:space="preserve"> </w:t>
      </w:r>
      <w:r>
        <w:t>Ю</w:t>
      </w:r>
      <w:r w:rsidRPr="007A5355">
        <w:rPr>
          <w:lang w:val="en-US"/>
        </w:rPr>
        <w:t>.</w:t>
      </w:r>
      <w:r>
        <w:t>Л</w:t>
      </w:r>
      <w:r w:rsidRPr="007A5355">
        <w:rPr>
          <w:lang w:val="en-US"/>
        </w:rPr>
        <w:t xml:space="preserve">., </w:t>
      </w:r>
      <w:r>
        <w:t>Медведев</w:t>
      </w:r>
      <w:r>
        <w:rPr>
          <w:lang w:val="en-US"/>
        </w:rPr>
        <w:t> </w:t>
      </w:r>
      <w:r>
        <w:t>М</w:t>
      </w:r>
      <w:r w:rsidRPr="007A5355">
        <w:rPr>
          <w:lang w:val="en-US"/>
        </w:rPr>
        <w:t>.</w:t>
      </w:r>
      <w:r>
        <w:t>В</w:t>
      </w:r>
      <w:r w:rsidRPr="007A5355">
        <w:rPr>
          <w:lang w:val="en-US"/>
        </w:rPr>
        <w:t xml:space="preserve">., </w:t>
      </w:r>
      <w:r>
        <w:t>Серебров</w:t>
      </w:r>
      <w:r w:rsidRPr="007A5355">
        <w:rPr>
          <w:lang w:val="en-US"/>
        </w:rPr>
        <w:t xml:space="preserve"> </w:t>
      </w:r>
      <w:r>
        <w:t>Р</w:t>
      </w:r>
      <w:r w:rsidRPr="007A5355">
        <w:rPr>
          <w:lang w:val="en-US"/>
        </w:rPr>
        <w:t>.</w:t>
      </w:r>
      <w:r>
        <w:t>А</w:t>
      </w:r>
      <w:r w:rsidRPr="007A5355">
        <w:rPr>
          <w:lang w:val="en-US"/>
        </w:rPr>
        <w:t xml:space="preserve">., </w:t>
      </w:r>
      <w:r>
        <w:t>Фридман</w:t>
      </w:r>
      <w:r w:rsidRPr="007A5355">
        <w:rPr>
          <w:lang w:val="en-US"/>
        </w:rPr>
        <w:t xml:space="preserve"> </w:t>
      </w:r>
      <w:r>
        <w:t>Б</w:t>
      </w:r>
      <w:r w:rsidRPr="007A5355">
        <w:rPr>
          <w:lang w:val="en-US"/>
        </w:rPr>
        <w:t>.</w:t>
      </w:r>
      <w:r>
        <w:t>Э</w:t>
      </w:r>
      <w:r w:rsidRPr="007A5355">
        <w:rPr>
          <w:lang w:val="en-US"/>
        </w:rPr>
        <w:t>.</w:t>
      </w:r>
    </w:p>
    <w:p w:rsidR="00AB09C6" w:rsidRPr="00C67BF6" w:rsidRDefault="00AB09C6" w:rsidP="00AB09C6">
      <w:pPr>
        <w:pStyle w:val="Zv-Organization"/>
      </w:pPr>
      <w:bookmarkStart w:id="0" w:name="_Hlk119069501"/>
      <w:r>
        <w:t>Акционерное общество "НИИЭФА им. Д.В. Ефремова",</w:t>
      </w:r>
      <w:r w:rsidRPr="00C67BF6">
        <w:t xml:space="preserve"> </w:t>
      </w:r>
      <w:hyperlink r:id="rId8" w:history="1">
        <w:r w:rsidRPr="00C67BF6">
          <w:rPr>
            <w:rStyle w:val="a7"/>
          </w:rPr>
          <w:t>niiefa@niiefa.spb.su</w:t>
        </w:r>
      </w:hyperlink>
    </w:p>
    <w:bookmarkEnd w:id="0"/>
    <w:p w:rsidR="00AB09C6" w:rsidRDefault="00AB09C6" w:rsidP="00AB09C6">
      <w:pPr>
        <w:pStyle w:val="Zv-bodyreport"/>
      </w:pPr>
      <w:r>
        <w:t xml:space="preserve">Коммутационные аппараты системы питания сверхпроводящих магнитных систем тороидального поля будут установлены в реакторном зале ИТЭР и должны функционировать в рассеянном магнитном поле (до 30 мТл), создаваемом магнитными </w:t>
      </w:r>
      <w:r w:rsidRPr="00783396">
        <w:t>системами токамака.</w:t>
      </w:r>
      <w:r>
        <w:t xml:space="preserve"> Предварительные испытания коммутационных аппаратов показали нарушение работоспособности в постоянном магнитном поле почти всех элементов с магнитопроводами в коммутационных аппаратах и системах их управления, в том числе:</w:t>
      </w:r>
    </w:p>
    <w:p w:rsidR="00AB09C6" w:rsidRDefault="00AB09C6" w:rsidP="00AB09C6">
      <w:pPr>
        <w:pStyle w:val="Zv-bodyreport"/>
        <w:numPr>
          <w:ilvl w:val="0"/>
          <w:numId w:val="8"/>
        </w:numPr>
        <w:ind w:left="0" w:firstLine="426"/>
      </w:pPr>
      <w:r>
        <w:t xml:space="preserve">силовых трансформаторов, </w:t>
      </w:r>
    </w:p>
    <w:p w:rsidR="00AB09C6" w:rsidRDefault="00AB09C6" w:rsidP="00AB09C6">
      <w:pPr>
        <w:pStyle w:val="Zv-bodyreport"/>
        <w:numPr>
          <w:ilvl w:val="0"/>
          <w:numId w:val="8"/>
        </w:numPr>
        <w:ind w:left="0" w:firstLine="426"/>
      </w:pPr>
      <w:r>
        <w:t>трансформаторов малой мощности в системах управления, в том числе трансформаторов и дросселей блоков питания;</w:t>
      </w:r>
    </w:p>
    <w:p w:rsidR="00AB09C6" w:rsidRDefault="00AB09C6" w:rsidP="00AB09C6">
      <w:pPr>
        <w:pStyle w:val="Zv-bodyreport"/>
        <w:numPr>
          <w:ilvl w:val="0"/>
          <w:numId w:val="8"/>
        </w:numPr>
        <w:ind w:left="0" w:firstLine="426"/>
      </w:pPr>
      <w:r>
        <w:t>магнитных элементов датчиков, в том числе магнитных модуляторов датчиков нуля тока;</w:t>
      </w:r>
    </w:p>
    <w:p w:rsidR="00AB09C6" w:rsidRDefault="00AB09C6" w:rsidP="00AB09C6">
      <w:pPr>
        <w:pStyle w:val="Zv-bodyreport"/>
        <w:numPr>
          <w:ilvl w:val="0"/>
          <w:numId w:val="8"/>
        </w:numPr>
        <w:ind w:left="0" w:firstLine="426"/>
      </w:pPr>
      <w:r>
        <w:t>электромагнитов, в том числе электромагнитов привода высоковольтных защитных контакторов.</w:t>
      </w:r>
    </w:p>
    <w:p w:rsidR="00AB09C6" w:rsidRDefault="00AB09C6" w:rsidP="00AB09C6">
      <w:pPr>
        <w:pStyle w:val="Zv-bodyreport"/>
      </w:pPr>
      <w:r>
        <w:t xml:space="preserve">Причиной отказа элементов с магнитопроводами является </w:t>
      </w:r>
      <w:r w:rsidRPr="00C50BC7">
        <w:t>эффект</w:t>
      </w:r>
      <w:r>
        <w:t xml:space="preserve"> концентрации магнитного поля в ферромагнитных элементах и изменение их магнитного состояния до состояния, близкого к уровню магнитного насыщения.</w:t>
      </w:r>
    </w:p>
    <w:p w:rsidR="00AB09C6" w:rsidRDefault="00AB09C6" w:rsidP="00AB09C6">
      <w:pPr>
        <w:pStyle w:val="Zv-bodyreport"/>
      </w:pPr>
      <w:r>
        <w:t>В докладе рассматриваются меры по устранению указанных отказов:</w:t>
      </w:r>
    </w:p>
    <w:p w:rsidR="00AB09C6" w:rsidRDefault="00AB09C6" w:rsidP="00AB09C6">
      <w:pPr>
        <w:pStyle w:val="Zv-bodyreport"/>
        <w:numPr>
          <w:ilvl w:val="0"/>
          <w:numId w:val="9"/>
        </w:numPr>
        <w:ind w:left="0" w:firstLine="426"/>
      </w:pPr>
      <w:r>
        <w:t>магнитное экранирование элементов с магнитопроводами;</w:t>
      </w:r>
    </w:p>
    <w:p w:rsidR="00AB09C6" w:rsidRDefault="00AB09C6" w:rsidP="00AB09C6">
      <w:pPr>
        <w:pStyle w:val="Zv-bodyreport"/>
        <w:numPr>
          <w:ilvl w:val="0"/>
          <w:numId w:val="9"/>
        </w:numPr>
        <w:ind w:left="0" w:firstLine="426"/>
      </w:pPr>
      <w:r>
        <w:t>подбор и замена блоков питания на блоки с компонентами, устойчивыми к действию магнитного поля;</w:t>
      </w:r>
    </w:p>
    <w:p w:rsidR="00AB09C6" w:rsidRDefault="00AB09C6" w:rsidP="00AB09C6">
      <w:pPr>
        <w:pStyle w:val="Zv-bodyreport"/>
        <w:numPr>
          <w:ilvl w:val="0"/>
          <w:numId w:val="9"/>
        </w:numPr>
        <w:ind w:left="0" w:firstLine="426"/>
      </w:pPr>
      <w:r>
        <w:t>изменение режимов работы таким образом, чтобы намагничивание во внешнем магнитном поле не нарушала работоспособность элементов;</w:t>
      </w:r>
    </w:p>
    <w:p w:rsidR="00AB09C6" w:rsidRDefault="00AB09C6" w:rsidP="00AB09C6">
      <w:pPr>
        <w:pStyle w:val="Zv-bodyreport"/>
        <w:numPr>
          <w:ilvl w:val="0"/>
          <w:numId w:val="9"/>
        </w:numPr>
        <w:ind w:left="0" w:firstLine="426"/>
      </w:pPr>
      <w:r>
        <w:t>отказ от применения датчиков с магнитными элементами и переход на датчики других типов, например, на волоконно-оптические датчики.</w:t>
      </w:r>
    </w:p>
    <w:p w:rsidR="00AB09C6" w:rsidRDefault="00AB09C6" w:rsidP="00AB09C6">
      <w:pPr>
        <w:pStyle w:val="Zv-bodyreport"/>
      </w:pPr>
      <w:r>
        <w:t xml:space="preserve">Математическое моделирование и экспериментальные исследования распространения магнитного поля в магнитопроводах позволили выбрать и обосновать конфигурацию магнитных экранов. Результативность принятых мер по устранению отказов подтверждена испытаниями </w:t>
      </w:r>
      <w:bookmarkStart w:id="1" w:name="_Hlk118794852"/>
      <w:r>
        <w:t xml:space="preserve">элементов коммутационных аппаратов и систем их управления </w:t>
      </w:r>
      <w:bookmarkEnd w:id="1"/>
      <w:r>
        <w:t>в постоянных магнитных полях индукцией 50 мТл.</w:t>
      </w:r>
    </w:p>
    <w:p w:rsidR="00654A7B" w:rsidRPr="00AB09C6" w:rsidRDefault="00654A7B"/>
    <w:sectPr w:rsidR="00654A7B" w:rsidRPr="00AB09C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6E" w:rsidRDefault="002C4A6E">
      <w:r>
        <w:separator/>
      </w:r>
    </w:p>
  </w:endnote>
  <w:endnote w:type="continuationSeparator" w:id="0">
    <w:p w:rsidR="002C4A6E" w:rsidRDefault="002C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36D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B09C6" w:rsidRDefault="00AB09C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289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6E" w:rsidRDefault="002C4A6E">
      <w:r>
        <w:separator/>
      </w:r>
    </w:p>
  </w:footnote>
  <w:footnote w:type="continuationSeparator" w:id="0">
    <w:p w:rsidR="002C4A6E" w:rsidRDefault="002C4A6E">
      <w:r>
        <w:continuationSeparator/>
      </w:r>
    </w:p>
  </w:footnote>
  <w:footnote w:id="1">
    <w:p w:rsidR="007A5355" w:rsidRPr="007A5355" w:rsidRDefault="007A535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A535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B09C6">
      <w:rPr>
        <w:sz w:val="20"/>
      </w:rPr>
      <w:t>20</w:t>
    </w:r>
    <w:r w:rsidR="00C62CFE">
      <w:rPr>
        <w:sz w:val="20"/>
      </w:rPr>
      <w:t xml:space="preserve"> – </w:t>
    </w:r>
    <w:r w:rsidR="00700C3A" w:rsidRPr="00AB09C6">
      <w:rPr>
        <w:sz w:val="20"/>
      </w:rPr>
      <w:t>2</w:t>
    </w:r>
    <w:r w:rsidR="00577A8A" w:rsidRPr="00AB09C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B09C6">
      <w:rPr>
        <w:sz w:val="20"/>
      </w:rPr>
      <w:t>2</w:t>
    </w:r>
    <w:r w:rsidR="00700C3A" w:rsidRPr="00AB09C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B36D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8"/>
    <w:multiLevelType w:val="hybridMultilevel"/>
    <w:tmpl w:val="6FDE1CE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51D99"/>
    <w:multiLevelType w:val="hybridMultilevel"/>
    <w:tmpl w:val="6E0AF4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438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4A6E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36DC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24381"/>
    <w:rsid w:val="00732A2E"/>
    <w:rsid w:val="007A5355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09C6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65FF4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B09C6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AB09C6"/>
    <w:rPr>
      <w:sz w:val="24"/>
      <w:szCs w:val="24"/>
    </w:rPr>
  </w:style>
  <w:style w:type="paragraph" w:styleId="a8">
    <w:name w:val="footnote text"/>
    <w:basedOn w:val="a"/>
    <w:link w:val="a9"/>
    <w:rsid w:val="007A535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A5355"/>
  </w:style>
  <w:style w:type="character" w:styleId="aa">
    <w:name w:val="footnote reference"/>
    <w:basedOn w:val="a0"/>
    <w:rsid w:val="007A53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echaev\Downloads\niiefa@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A-Nech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AC02E-9925-4EC5-9626-CC9C2868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260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РАБОТОСПОСОБНОСТЬ КОМПОНЕНТОВ СИСТЕМЫ БЫСТРОГО ЗАЩИТНОГО ВЫВОДА ЭНЕРГИИ В РАССЕЯНОМ МАГНИТНОМ ПОЛЕ РЕАКТОРНОГО ЗАЛА ИТЭР</dc:title>
  <dc:creator/>
  <cp:lastModifiedBy>Сатунин</cp:lastModifiedBy>
  <cp:revision>3</cp:revision>
  <cp:lastPrinted>1601-01-01T00:00:00Z</cp:lastPrinted>
  <dcterms:created xsi:type="dcterms:W3CDTF">2023-02-18T19:54:00Z</dcterms:created>
  <dcterms:modified xsi:type="dcterms:W3CDTF">2023-05-22T11:36:00Z</dcterms:modified>
</cp:coreProperties>
</file>