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ABF" w:rsidRPr="00702946" w:rsidRDefault="00AA2ABF" w:rsidP="00AA2ABF">
      <w:pPr>
        <w:pStyle w:val="Zv-Titlereport"/>
      </w:pPr>
      <w:r>
        <w:t>Прочность центральной сборки дивертора с полностью вольфрамовой облицовкой для реактора-токамака итэр</w:t>
      </w:r>
      <w:r w:rsidR="00702946" w:rsidRPr="00702946">
        <w:t xml:space="preserve"> </w:t>
      </w:r>
      <w:r w:rsidR="00702946">
        <w:rPr>
          <w:rStyle w:val="ac"/>
        </w:rPr>
        <w:footnoteReference w:customMarkFollows="1" w:id="1"/>
        <w:t>*)</w:t>
      </w:r>
    </w:p>
    <w:p w:rsidR="00AA2ABF" w:rsidRPr="00B3338E" w:rsidRDefault="00AA2ABF" w:rsidP="00AA2ABF">
      <w:pPr>
        <w:pStyle w:val="Zv-Author"/>
      </w:pPr>
      <w:r w:rsidRPr="00365768">
        <w:rPr>
          <w:bCs w:val="0"/>
          <w:iCs w:val="0"/>
          <w:u w:val="single"/>
        </w:rPr>
        <w:t>Лабусов А.Н.</w:t>
      </w:r>
      <w:r>
        <w:t>, Маханьков А.Н., Миронов И.А</w:t>
      </w:r>
      <w:r w:rsidR="00B8674C" w:rsidRPr="00B8674C">
        <w:t>.</w:t>
      </w:r>
      <w:r w:rsidRPr="006F3EBB">
        <w:t xml:space="preserve">, </w:t>
      </w:r>
      <w:r>
        <w:t>Панов В.С.</w:t>
      </w:r>
    </w:p>
    <w:p w:rsidR="00AA2ABF" w:rsidRPr="0073099A" w:rsidRDefault="00AA2ABF" w:rsidP="00AA2ABF">
      <w:pPr>
        <w:pStyle w:val="Zv-Organization"/>
      </w:pPr>
      <w:r w:rsidRPr="005E10F6">
        <w:t>АО «НИИЭФА», С.-Петербург, Россия,</w:t>
      </w:r>
      <w:r w:rsidRPr="00B3338E">
        <w:t xml:space="preserve"> </w:t>
      </w:r>
      <w:hyperlink r:id="rId8" w:history="1">
        <w:r w:rsidRPr="00BC63CC">
          <w:rPr>
            <w:rStyle w:val="a7"/>
            <w:lang w:val="en-US"/>
          </w:rPr>
          <w:t>labusov</w:t>
        </w:r>
        <w:r w:rsidRPr="00BC63CC">
          <w:rPr>
            <w:rStyle w:val="a7"/>
          </w:rPr>
          <w:t>@</w:t>
        </w:r>
        <w:r w:rsidRPr="00BC63CC">
          <w:rPr>
            <w:rStyle w:val="a7"/>
            <w:lang w:val="en-US"/>
          </w:rPr>
          <w:t>sintez</w:t>
        </w:r>
        <w:r w:rsidRPr="00BC63CC">
          <w:rPr>
            <w:rStyle w:val="a7"/>
          </w:rPr>
          <w:t>.</w:t>
        </w:r>
        <w:r w:rsidRPr="00BC63CC">
          <w:rPr>
            <w:rStyle w:val="a7"/>
            <w:lang w:val="en-US"/>
          </w:rPr>
          <w:t>niiefa</w:t>
        </w:r>
        <w:r w:rsidRPr="00BC63CC">
          <w:rPr>
            <w:rStyle w:val="a7"/>
          </w:rPr>
          <w:t>.</w:t>
        </w:r>
        <w:r w:rsidRPr="00BC63CC">
          <w:rPr>
            <w:rStyle w:val="a7"/>
            <w:lang w:val="en-US"/>
          </w:rPr>
          <w:t>spb</w:t>
        </w:r>
        <w:r w:rsidRPr="00BC63CC">
          <w:rPr>
            <w:rStyle w:val="a7"/>
          </w:rPr>
          <w:t>.</w:t>
        </w:r>
        <w:r w:rsidRPr="00BC63CC">
          <w:rPr>
            <w:rStyle w:val="a7"/>
            <w:lang w:val="en-US"/>
          </w:rPr>
          <w:t>su</w:t>
        </w:r>
      </w:hyperlink>
    </w:p>
    <w:p w:rsidR="00AA2ABF" w:rsidRPr="005D53CE" w:rsidRDefault="00AA2ABF" w:rsidP="00AA2ABF">
      <w:pPr>
        <w:pStyle w:val="Zv-bodyreport"/>
      </w:pPr>
      <w:r>
        <w:t>В соответствии с обязательствами в рамках проектирования и строительства реактора-токамака ИТЭР Российская Федерация отвечает, в том числе, за поставку центральных сборок дивертора. Выполненные в 20</w:t>
      </w:r>
      <w:r w:rsidRPr="0060540D">
        <w:t>08</w:t>
      </w:r>
      <w:r>
        <w:t>-20</w:t>
      </w:r>
      <w:r w:rsidRPr="0060540D">
        <w:t>10</w:t>
      </w:r>
      <w:r>
        <w:t xml:space="preserve"> гг. расчетно-конструкторские работы по проектированию дивертора подтвердили его прочность и ресурс для так называемой водородной фазы работы установки. Однако принятые организацией ИТЭР в 2012 г. новые планы работы токамака потребовали подтверждения работоспособности как дивертора целиком, так и его центральной сборки в частности, для фазы работы установки с выделением нейтронов. В связи с новыми требованиями к плазме облицовка дивертора с 2012 г. стала полностью вольфрамовой. Выполненные в 2012-2014 гг. прочностные расчеты центральной сборки выявили несоответствие базовой конструкции 2010 г. критериям прочности внутрикамерных компонентов ИТЭР. В течение 2015-2021 гг. АО «НИИЭФА» были проведены расчетно-конструкторские работы с целью разработки конструкции центральной сборки дивертора, удовлетворяющие условиям работы с выделением нейтронов. Как результат выполненных работ, в декабре 2021 г. изготовленный полномасштабный прототип центральной сборки дивертора был успешно отправлен из АО «НИИЭФА» и принят в организации ИТЭР.</w:t>
      </w:r>
    </w:p>
    <w:p w:rsidR="00AA2ABF" w:rsidRPr="004F0276" w:rsidRDefault="00AA2ABF" w:rsidP="00AA2ABF">
      <w:pPr>
        <w:pStyle w:val="Zv-bodyreport"/>
      </w:pPr>
      <w:r w:rsidRPr="00492C24">
        <w:t xml:space="preserve">Для центральной сборки дивертора </w:t>
      </w:r>
      <w:r>
        <w:t>реактора-</w:t>
      </w:r>
      <w:r w:rsidRPr="00492C24">
        <w:t>токамака ИТЭР можно выделить следующие аспекты</w:t>
      </w:r>
      <w:r>
        <w:t xml:space="preserve">, </w:t>
      </w:r>
      <w:r w:rsidRPr="004F0276">
        <w:t>влияющие на ее работоспособность при эксплуатационных нагрузках:</w:t>
      </w:r>
    </w:p>
    <w:p w:rsidR="00AA2ABF" w:rsidRPr="004F0276" w:rsidRDefault="00AA2ABF" w:rsidP="00AA2ABF">
      <w:pPr>
        <w:pStyle w:val="a8"/>
        <w:numPr>
          <w:ilvl w:val="0"/>
          <w:numId w:val="8"/>
        </w:numPr>
        <w:ind w:left="1418" w:right="282" w:hanging="425"/>
        <w:jc w:val="both"/>
      </w:pPr>
      <w:r w:rsidRPr="004F0276">
        <w:t>прочность опор;</w:t>
      </w:r>
    </w:p>
    <w:p w:rsidR="00AA2ABF" w:rsidRPr="004F0276" w:rsidRDefault="00AA2ABF" w:rsidP="00AA2ABF">
      <w:pPr>
        <w:pStyle w:val="a8"/>
        <w:numPr>
          <w:ilvl w:val="0"/>
          <w:numId w:val="8"/>
        </w:numPr>
        <w:ind w:left="1418" w:right="282" w:hanging="425"/>
        <w:jc w:val="both"/>
      </w:pPr>
      <w:r w:rsidRPr="004F0276">
        <w:t>прочность силовой несущей конструкции;</w:t>
      </w:r>
    </w:p>
    <w:p w:rsidR="00AA2ABF" w:rsidRPr="004F0276" w:rsidRDefault="00AA2ABF" w:rsidP="00AA2ABF">
      <w:pPr>
        <w:pStyle w:val="a8"/>
        <w:numPr>
          <w:ilvl w:val="0"/>
          <w:numId w:val="8"/>
        </w:numPr>
        <w:ind w:left="1418" w:right="282" w:hanging="425"/>
        <w:jc w:val="both"/>
      </w:pPr>
      <w:r w:rsidRPr="004F0276">
        <w:t>прочность теплозащитных элементов;</w:t>
      </w:r>
    </w:p>
    <w:p w:rsidR="00AA2ABF" w:rsidRPr="004F0276" w:rsidRDefault="00AA2ABF" w:rsidP="00AA2ABF">
      <w:pPr>
        <w:pStyle w:val="a8"/>
        <w:numPr>
          <w:ilvl w:val="0"/>
          <w:numId w:val="8"/>
        </w:numPr>
        <w:ind w:left="1418" w:right="282" w:hanging="425"/>
        <w:jc w:val="both"/>
      </w:pPr>
      <w:r w:rsidRPr="004F0276">
        <w:t>прочность соединения защитных плиток.</w:t>
      </w:r>
    </w:p>
    <w:p w:rsidR="00AA2ABF" w:rsidRDefault="00AA2ABF" w:rsidP="00AA2ABF">
      <w:pPr>
        <w:pStyle w:val="Zv-bodyreport"/>
      </w:pPr>
      <w:r w:rsidRPr="004F0276">
        <w:t>В результате работы было выявлено, что прочность и ресурс опор в первую очередь зависит от механических нагрузок, вызванных электромагнитными</w:t>
      </w:r>
      <w:r w:rsidRPr="00492C24">
        <w:t xml:space="preserve"> силами при срывах тока плазмы.</w:t>
      </w:r>
    </w:p>
    <w:p w:rsidR="00AA2ABF" w:rsidRDefault="00AA2ABF" w:rsidP="00AA2ABF">
      <w:pPr>
        <w:pStyle w:val="Zv-bodyreport"/>
      </w:pPr>
      <w:r>
        <w:t xml:space="preserve">Прочность и ресурс </w:t>
      </w:r>
      <w:r w:rsidRPr="00492C24">
        <w:t>силов</w:t>
      </w:r>
      <w:r>
        <w:t>ой</w:t>
      </w:r>
      <w:r w:rsidRPr="00492C24">
        <w:t xml:space="preserve"> несущ</w:t>
      </w:r>
      <w:r>
        <w:t>ей</w:t>
      </w:r>
      <w:r w:rsidRPr="00492C24">
        <w:t xml:space="preserve"> конструкци</w:t>
      </w:r>
      <w:r>
        <w:t>и</w:t>
      </w:r>
      <w:r w:rsidRPr="00492C24">
        <w:t xml:space="preserve"> </w:t>
      </w:r>
      <w:r>
        <w:t xml:space="preserve">центральной сборки </w:t>
      </w:r>
      <w:r w:rsidRPr="00492C24">
        <w:t>дивертора</w:t>
      </w:r>
      <w:r>
        <w:t xml:space="preserve"> определяется как механическими нагрузками</w:t>
      </w:r>
      <w:r w:rsidRPr="00492C24">
        <w:t>, вызванны</w:t>
      </w:r>
      <w:r>
        <w:t>ми</w:t>
      </w:r>
      <w:r w:rsidRPr="00492C24">
        <w:t xml:space="preserve"> электромагнитными силами при срывах тока плазмы</w:t>
      </w:r>
      <w:r>
        <w:t>, так и тепловыми нагрузками, в первую очередь тепловыделением в материалах конструкции при нейтронном облучении</w:t>
      </w:r>
      <w:r w:rsidRPr="00492C24">
        <w:t>.</w:t>
      </w:r>
    </w:p>
    <w:p w:rsidR="00AA2ABF" w:rsidRDefault="00AA2ABF" w:rsidP="00AA2ABF">
      <w:pPr>
        <w:pStyle w:val="Zv-bodyreport"/>
      </w:pPr>
      <w:r>
        <w:t xml:space="preserve">Прочность и ресурс силовой конструкции и трубок охлаждения </w:t>
      </w:r>
      <w:r w:rsidRPr="00492C24">
        <w:t xml:space="preserve">теплозащитных элементов </w:t>
      </w:r>
      <w:r>
        <w:t xml:space="preserve">центральной сборки </w:t>
      </w:r>
      <w:r w:rsidRPr="00492C24">
        <w:t>дивертора</w:t>
      </w:r>
      <w:r>
        <w:t xml:space="preserve"> определяется механическими нагрузками</w:t>
      </w:r>
      <w:r w:rsidRPr="00492C24">
        <w:t>, вызванны</w:t>
      </w:r>
      <w:r>
        <w:t>ми</w:t>
      </w:r>
      <w:r w:rsidRPr="00492C24">
        <w:t xml:space="preserve"> электромагнитными силами при срывах тока плазмы</w:t>
      </w:r>
      <w:r>
        <w:t>.</w:t>
      </w:r>
    </w:p>
    <w:p w:rsidR="00AA2ABF" w:rsidRDefault="00AA2ABF" w:rsidP="00AA2ABF">
      <w:pPr>
        <w:pStyle w:val="Zv-bodyreport"/>
      </w:pPr>
      <w:r w:rsidRPr="00492C24">
        <w:t xml:space="preserve">Прочность и ресурс </w:t>
      </w:r>
      <w:r>
        <w:t xml:space="preserve">облицовки (защитных плиток) </w:t>
      </w:r>
      <w:r w:rsidRPr="00492C24">
        <w:t xml:space="preserve">теплозащитных элементов </w:t>
      </w:r>
      <w:r>
        <w:t xml:space="preserve">центральной сборки </w:t>
      </w:r>
      <w:r w:rsidRPr="00492C24">
        <w:t>дивертора</w:t>
      </w:r>
      <w:r>
        <w:t xml:space="preserve"> </w:t>
      </w:r>
      <w:r w:rsidRPr="00492C24">
        <w:t>определяется тепловыми нагрузками, действующими на обращенные к плазме поверхности.</w:t>
      </w:r>
    </w:p>
    <w:p w:rsidR="00AA2ABF" w:rsidRPr="007F5659" w:rsidRDefault="00AA2ABF" w:rsidP="00AA2ABF">
      <w:pPr>
        <w:pStyle w:val="Zv-bodyreport"/>
      </w:pPr>
      <w:r>
        <w:t xml:space="preserve">В результате </w:t>
      </w:r>
      <w:r w:rsidRPr="007F5659">
        <w:t xml:space="preserve">работы </w:t>
      </w:r>
      <w:r>
        <w:t>разработана конструкция прототипа центральной сборки дивертора, в целом удовлетворяющая эксплуатационным требованиям для так называемой первой загрузки дивертора в реактор-токамак ИТЭР</w:t>
      </w:r>
      <w:r w:rsidRPr="007F5659">
        <w:t>.</w:t>
      </w:r>
    </w:p>
    <w:p w:rsidR="00654A7B" w:rsidRPr="00B8674C" w:rsidRDefault="00654A7B"/>
    <w:sectPr w:rsidR="00654A7B" w:rsidRPr="00B8674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886" w:rsidRDefault="00105886">
      <w:r>
        <w:separator/>
      </w:r>
    </w:p>
  </w:endnote>
  <w:endnote w:type="continuationSeparator" w:id="0">
    <w:p w:rsidR="00105886" w:rsidRDefault="00105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254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5C77AD" w:rsidRDefault="005C77A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273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886" w:rsidRDefault="00105886">
      <w:r>
        <w:separator/>
      </w:r>
    </w:p>
  </w:footnote>
  <w:footnote w:type="continuationSeparator" w:id="0">
    <w:p w:rsidR="00105886" w:rsidRDefault="00105886">
      <w:r>
        <w:continuationSeparator/>
      </w:r>
    </w:p>
  </w:footnote>
  <w:footnote w:id="1">
    <w:p w:rsidR="00702946" w:rsidRPr="00702946" w:rsidRDefault="00702946">
      <w:pPr>
        <w:pStyle w:val="aa"/>
        <w:rPr>
          <w:lang w:val="en-US"/>
        </w:rPr>
      </w:pPr>
      <w:r>
        <w:rPr>
          <w:rStyle w:val="ac"/>
        </w:rPr>
        <w:t>*)</w:t>
      </w:r>
      <w:r>
        <w:t xml:space="preserve"> </w:t>
      </w:r>
      <w:hyperlink r:id="rId1" w:history="1">
        <w:r w:rsidRPr="0070294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B8674C">
      <w:rPr>
        <w:sz w:val="20"/>
      </w:rPr>
      <w:t>20</w:t>
    </w:r>
    <w:r w:rsidR="00C62CFE">
      <w:rPr>
        <w:sz w:val="20"/>
      </w:rPr>
      <w:t xml:space="preserve"> – </w:t>
    </w:r>
    <w:r w:rsidR="00700C3A" w:rsidRPr="00B8674C">
      <w:rPr>
        <w:sz w:val="20"/>
      </w:rPr>
      <w:t>2</w:t>
    </w:r>
    <w:r w:rsidR="00577A8A" w:rsidRPr="00B8674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B8674C">
      <w:rPr>
        <w:sz w:val="20"/>
      </w:rPr>
      <w:t>2</w:t>
    </w:r>
    <w:r w:rsidR="00700C3A" w:rsidRPr="00B8674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B254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3D76F1"/>
    <w:multiLevelType w:val="hybridMultilevel"/>
    <w:tmpl w:val="750E16A2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8674C"/>
    <w:rsid w:val="00037DCC"/>
    <w:rsid w:val="00043701"/>
    <w:rsid w:val="000C7078"/>
    <w:rsid w:val="000D76E9"/>
    <w:rsid w:val="000E495B"/>
    <w:rsid w:val="00105886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C77AD"/>
    <w:rsid w:val="005D0106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02946"/>
    <w:rsid w:val="00732A2E"/>
    <w:rsid w:val="007B6378"/>
    <w:rsid w:val="007D3F59"/>
    <w:rsid w:val="00802D35"/>
    <w:rsid w:val="00884624"/>
    <w:rsid w:val="008E2894"/>
    <w:rsid w:val="009352E6"/>
    <w:rsid w:val="0094721E"/>
    <w:rsid w:val="009551FC"/>
    <w:rsid w:val="00A66876"/>
    <w:rsid w:val="00A71613"/>
    <w:rsid w:val="00AA2ABF"/>
    <w:rsid w:val="00AB3459"/>
    <w:rsid w:val="00AD7670"/>
    <w:rsid w:val="00B2546F"/>
    <w:rsid w:val="00B622ED"/>
    <w:rsid w:val="00B8674C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A2ABF"/>
    <w:rPr>
      <w:color w:val="0000FF" w:themeColor="hyperlink"/>
      <w:u w:val="single"/>
    </w:rPr>
  </w:style>
  <w:style w:type="paragraph" w:styleId="a8">
    <w:name w:val="List Paragraph"/>
    <w:aliases w:val="Title,ПКФ Список"/>
    <w:basedOn w:val="a"/>
    <w:link w:val="a9"/>
    <w:uiPriority w:val="34"/>
    <w:qFormat/>
    <w:rsid w:val="00AA2ABF"/>
    <w:pPr>
      <w:ind w:left="720"/>
      <w:contextualSpacing/>
    </w:pPr>
    <w:rPr>
      <w:lang w:val="en-US"/>
    </w:rPr>
  </w:style>
  <w:style w:type="character" w:customStyle="1" w:styleId="Zv-bodyreportChar">
    <w:name w:val="Zv-body_report Char"/>
    <w:link w:val="Zv-bodyreport"/>
    <w:locked/>
    <w:rsid w:val="00AA2ABF"/>
    <w:rPr>
      <w:sz w:val="24"/>
      <w:szCs w:val="24"/>
    </w:rPr>
  </w:style>
  <w:style w:type="character" w:customStyle="1" w:styleId="a9">
    <w:name w:val="Абзац списка Знак"/>
    <w:aliases w:val="Title Знак,ПКФ Список Знак"/>
    <w:link w:val="a8"/>
    <w:uiPriority w:val="34"/>
    <w:locked/>
    <w:rsid w:val="00AA2ABF"/>
    <w:rPr>
      <w:sz w:val="24"/>
      <w:szCs w:val="24"/>
      <w:lang w:val="en-US"/>
    </w:rPr>
  </w:style>
  <w:style w:type="paragraph" w:styleId="aa">
    <w:name w:val="footnote text"/>
    <w:basedOn w:val="a"/>
    <w:link w:val="ab"/>
    <w:rsid w:val="00702946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702946"/>
  </w:style>
  <w:style w:type="character" w:styleId="ac">
    <w:name w:val="footnote reference"/>
    <w:basedOn w:val="a0"/>
    <w:rsid w:val="0070294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usov@sintez.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Q-Labu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00B7C-3BCE-48F6-A63D-0E468CE9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339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ПРОЧНОСТЬ ЦЕНТРАЛЬНОЙ СБОРКИ ДИВЕРТОРА С ПОЛНОСТЬЮ ВОЛЬФРАМОВОЙ ОБЛИЦОВКОЙ ДЛЯ РЕАКТОРА-ТОКАМАКА ИТЭР</dc:title>
  <dc:creator/>
  <cp:lastModifiedBy>Сатунин</cp:lastModifiedBy>
  <cp:revision>4</cp:revision>
  <cp:lastPrinted>1601-01-01T00:00:00Z</cp:lastPrinted>
  <dcterms:created xsi:type="dcterms:W3CDTF">2023-02-13T11:35:00Z</dcterms:created>
  <dcterms:modified xsi:type="dcterms:W3CDTF">2023-05-22T09:52:00Z</dcterms:modified>
</cp:coreProperties>
</file>