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1A" w:rsidRDefault="00EA5FA9" w:rsidP="005A7A1A">
      <w:pPr>
        <w:pStyle w:val="Zv-Titlereport"/>
        <w:rPr>
          <w:lang w:val="en-US"/>
        </w:rPr>
      </w:pPr>
      <w:r w:rsidRPr="00EA5FA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EA5FA9" w:rsidRPr="00824DF5" w:rsidRDefault="00EA5FA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EA5FA9">
                    <w:rPr>
                      <w:sz w:val="22"/>
                      <w:szCs w:val="22"/>
                    </w:rPr>
                    <w:t>10.34854/ICPAF.2023.50.2023.1.1.255</w:t>
                  </w:r>
                </w:p>
              </w:txbxContent>
            </v:textbox>
            <w10:anchorlock/>
          </v:shape>
        </w:pict>
      </w:r>
      <w:r w:rsidR="005A7A1A">
        <w:rPr>
          <w:lang w:val="en-US"/>
        </w:rPr>
        <w:t>iter Divertor neutron flux monitor PrototypE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5A7A1A" w:rsidRPr="00A7029F" w:rsidRDefault="005A7A1A" w:rsidP="005A7A1A">
      <w:pPr>
        <w:pStyle w:val="Zv-Author"/>
        <w:rPr>
          <w:lang w:val="en-US"/>
        </w:rPr>
      </w:pPr>
      <w:r w:rsidRPr="00EB0D8F">
        <w:rPr>
          <w:vertAlign w:val="superscript"/>
          <w:lang w:val="en-US"/>
        </w:rPr>
        <w:t>1</w:t>
      </w:r>
      <w:r w:rsidRPr="00EB0D8F">
        <w:rPr>
          <w:u w:val="single"/>
          <w:lang w:val="en-US"/>
        </w:rPr>
        <w:t>Gavrilenko</w:t>
      </w:r>
      <w:r w:rsidRPr="005A7A1A">
        <w:rPr>
          <w:u w:val="single"/>
          <w:lang w:val="en-US"/>
        </w:rPr>
        <w:t xml:space="preserve"> </w:t>
      </w:r>
      <w:r w:rsidRPr="00EB0D8F">
        <w:rPr>
          <w:u w:val="single"/>
          <w:lang w:val="en-US"/>
        </w:rPr>
        <w:t>D.E.</w:t>
      </w:r>
      <w:r w:rsidRPr="00EB0D8F">
        <w:rPr>
          <w:lang w:val="en-US"/>
        </w:rPr>
        <w:t xml:space="preserve">, </w:t>
      </w:r>
      <w:r w:rsidRPr="00EB0D8F">
        <w:rPr>
          <w:vertAlign w:val="superscript"/>
          <w:lang w:val="en-US"/>
        </w:rPr>
        <w:t>1,</w:t>
      </w:r>
      <w:r>
        <w:rPr>
          <w:vertAlign w:val="superscript"/>
          <w:lang w:val="en-US"/>
        </w:rPr>
        <w:t>4</w:t>
      </w:r>
      <w:r w:rsidRPr="00EB0D8F">
        <w:rPr>
          <w:lang w:val="en-US"/>
        </w:rPr>
        <w:t>Burdakov</w:t>
      </w:r>
      <w:r w:rsidRPr="005A7A1A">
        <w:rPr>
          <w:lang w:val="en-US"/>
        </w:rPr>
        <w:t xml:space="preserve"> </w:t>
      </w:r>
      <w:r w:rsidRPr="00EB0D8F">
        <w:rPr>
          <w:lang w:val="en-US"/>
        </w:rPr>
        <w:t>A.V.</w:t>
      </w:r>
      <w:r>
        <w:rPr>
          <w:lang w:val="en-US"/>
        </w:rPr>
        <w:t xml:space="preserve">, </w:t>
      </w:r>
      <w:r w:rsidRPr="00EB0D8F">
        <w:rPr>
          <w:vertAlign w:val="superscript"/>
          <w:lang w:val="en-US"/>
        </w:rPr>
        <w:t>1,3</w:t>
      </w:r>
      <w:r w:rsidRPr="00EB0D8F">
        <w:rPr>
          <w:color w:val="000000"/>
          <w:lang w:val="en-US"/>
        </w:rPr>
        <w:t>Ivantsivsky</w:t>
      </w:r>
      <w:r w:rsidRPr="005A7A1A">
        <w:rPr>
          <w:color w:val="000000"/>
          <w:lang w:val="en-US"/>
        </w:rPr>
        <w:t xml:space="preserve"> </w:t>
      </w:r>
      <w:r w:rsidRPr="00EB0D8F">
        <w:rPr>
          <w:color w:val="000000"/>
          <w:lang w:val="en-US"/>
        </w:rPr>
        <w:t>M.V.</w:t>
      </w:r>
      <w:r>
        <w:rPr>
          <w:lang w:val="en-US"/>
        </w:rPr>
        <w:t xml:space="preserve">, </w:t>
      </w:r>
      <w:r w:rsidRPr="00EB0D8F">
        <w:rPr>
          <w:vertAlign w:val="superscript"/>
          <w:lang w:val="en-US"/>
        </w:rPr>
        <w:t>2</w:t>
      </w:r>
      <w:r w:rsidRPr="00EB0D8F">
        <w:rPr>
          <w:szCs w:val="28"/>
          <w:lang w:val="en-US"/>
        </w:rPr>
        <w:t>Kashchuk</w:t>
      </w:r>
      <w:r w:rsidRPr="005A7A1A">
        <w:rPr>
          <w:lang w:val="en-US"/>
        </w:rPr>
        <w:t xml:space="preserve"> </w:t>
      </w:r>
      <w:r w:rsidRPr="00EB0D8F">
        <w:rPr>
          <w:lang w:val="en-US"/>
        </w:rPr>
        <w:t>Yu.</w:t>
      </w:r>
      <w:r w:rsidRPr="00EB0D8F">
        <w:t>А</w:t>
      </w:r>
      <w:r w:rsidRPr="00EB0D8F">
        <w:rPr>
          <w:lang w:val="en-US"/>
        </w:rPr>
        <w:t xml:space="preserve">., </w:t>
      </w:r>
      <w:r w:rsidRPr="00EB0D8F">
        <w:rPr>
          <w:vertAlign w:val="superscript"/>
          <w:lang w:val="en-US"/>
        </w:rPr>
        <w:t>2</w:t>
      </w:r>
      <w:r w:rsidRPr="00EB0D8F">
        <w:rPr>
          <w:lang w:val="en-US"/>
        </w:rPr>
        <w:t>Obudovsky</w:t>
      </w:r>
      <w:r>
        <w:rPr>
          <w:lang w:val="en-US"/>
        </w:rPr>
        <w:t> </w:t>
      </w:r>
      <w:r w:rsidRPr="00EB0D8F">
        <w:rPr>
          <w:lang w:val="en-US"/>
        </w:rPr>
        <w:t>S.Yu.,</w:t>
      </w:r>
      <w:r w:rsidRPr="00A7029F">
        <w:rPr>
          <w:lang w:val="en-US"/>
        </w:rPr>
        <w:t xml:space="preserve"> </w:t>
      </w:r>
      <w:r w:rsidRPr="00EB0D8F">
        <w:rPr>
          <w:vertAlign w:val="superscript"/>
          <w:lang w:val="en-US"/>
        </w:rPr>
        <w:t>2</w:t>
      </w:r>
      <w:r>
        <w:rPr>
          <w:lang w:val="en-US"/>
        </w:rPr>
        <w:t>Stepanov</w:t>
      </w:r>
      <w:r w:rsidRPr="005A7A1A">
        <w:rPr>
          <w:lang w:val="en-US"/>
        </w:rPr>
        <w:t xml:space="preserve"> </w:t>
      </w:r>
      <w:r>
        <w:rPr>
          <w:lang w:val="en-US"/>
        </w:rPr>
        <w:t>S.B.</w:t>
      </w:r>
      <w:r w:rsidRPr="00A7029F">
        <w:rPr>
          <w:lang w:val="en-US"/>
        </w:rPr>
        <w:t xml:space="preserve">, </w:t>
      </w:r>
      <w:r w:rsidRPr="00EB0D8F">
        <w:rPr>
          <w:vertAlign w:val="superscript"/>
          <w:lang w:val="en-US"/>
        </w:rPr>
        <w:t>2</w:t>
      </w:r>
      <w:r>
        <w:rPr>
          <w:lang w:val="en-US"/>
        </w:rPr>
        <w:t>Kormilitsyn</w:t>
      </w:r>
      <w:r w:rsidRPr="005A7A1A">
        <w:rPr>
          <w:lang w:val="en-US"/>
        </w:rPr>
        <w:t xml:space="preserve"> </w:t>
      </w:r>
      <w:r>
        <w:rPr>
          <w:lang w:val="en-US"/>
        </w:rPr>
        <w:t>T.M.,</w:t>
      </w:r>
      <w:r w:rsidRPr="00EB0D8F">
        <w:rPr>
          <w:lang w:val="en-US"/>
        </w:rPr>
        <w:t xml:space="preserve"> </w:t>
      </w:r>
      <w:r w:rsidRPr="00EB0D8F">
        <w:rPr>
          <w:vertAlign w:val="superscript"/>
          <w:lang w:val="en-US"/>
        </w:rPr>
        <w:t>1</w:t>
      </w:r>
      <w:r w:rsidRPr="00EB0D8F">
        <w:rPr>
          <w:lang w:val="en-US"/>
        </w:rPr>
        <w:t>Steshov</w:t>
      </w:r>
      <w:r w:rsidRPr="005A7A1A">
        <w:rPr>
          <w:lang w:val="en-US"/>
        </w:rPr>
        <w:t xml:space="preserve"> </w:t>
      </w:r>
      <w:r w:rsidRPr="00EB0D8F">
        <w:rPr>
          <w:lang w:val="en-US"/>
        </w:rPr>
        <w:t>A.G.,</w:t>
      </w:r>
      <w:r>
        <w:rPr>
          <w:lang w:val="en-US"/>
        </w:rPr>
        <w:t xml:space="preserve"> </w:t>
      </w:r>
      <w:r w:rsidRPr="00EB0D8F">
        <w:rPr>
          <w:vertAlign w:val="superscript"/>
          <w:lang w:val="en-US"/>
        </w:rPr>
        <w:t>1</w:t>
      </w:r>
      <w:r w:rsidRPr="00EB0D8F">
        <w:rPr>
          <w:color w:val="000000"/>
          <w:szCs w:val="24"/>
          <w:lang w:val="en-US"/>
        </w:rPr>
        <w:t>Shiyankov</w:t>
      </w:r>
      <w:r w:rsidRPr="005A7A1A">
        <w:rPr>
          <w:color w:val="000000"/>
          <w:szCs w:val="24"/>
          <w:lang w:val="en-US"/>
        </w:rPr>
        <w:t xml:space="preserve"> </w:t>
      </w:r>
      <w:r w:rsidRPr="00EB0D8F">
        <w:rPr>
          <w:color w:val="000000"/>
          <w:szCs w:val="24"/>
          <w:lang w:val="en-US"/>
        </w:rPr>
        <w:t>S.V.</w:t>
      </w:r>
      <w:r w:rsidRPr="00EB0D8F">
        <w:rPr>
          <w:lang w:val="en-US"/>
        </w:rPr>
        <w:t xml:space="preserve">, </w:t>
      </w:r>
      <w:r w:rsidRPr="00EB0D8F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,3</w:t>
      </w:r>
      <w:r w:rsidRPr="00A7029F">
        <w:rPr>
          <w:vertAlign w:val="superscript"/>
          <w:lang w:val="en-US"/>
        </w:rPr>
        <w:t>,4</w:t>
      </w:r>
      <w:r w:rsidRPr="00EB0D8F">
        <w:rPr>
          <w:lang w:val="en-US"/>
        </w:rPr>
        <w:t>Shoshin</w:t>
      </w:r>
      <w:r w:rsidRPr="005A7A1A">
        <w:rPr>
          <w:lang w:val="en-US"/>
        </w:rPr>
        <w:t xml:space="preserve"> </w:t>
      </w:r>
      <w:r w:rsidRPr="00EB0D8F">
        <w:rPr>
          <w:lang w:val="en-US"/>
        </w:rPr>
        <w:t>A.A.</w:t>
      </w:r>
    </w:p>
    <w:p w:rsidR="005A7A1A" w:rsidRDefault="005A7A1A" w:rsidP="005A7A1A">
      <w:pPr>
        <w:pStyle w:val="Zv-Organization"/>
        <w:rPr>
          <w:lang w:val="en-US"/>
        </w:rPr>
      </w:pPr>
      <w:r w:rsidRPr="00CA5C33">
        <w:rPr>
          <w:vertAlign w:val="superscript"/>
          <w:lang w:val="en-US"/>
        </w:rPr>
        <w:t>1</w:t>
      </w:r>
      <w:r w:rsidRPr="009D7A48">
        <w:rPr>
          <w:lang w:val="en-US"/>
        </w:rPr>
        <w:t>Budker Institute of Nuclear Physics SB RAS, Novosibirsk, Russia</w:t>
      </w:r>
      <w:r>
        <w:rPr>
          <w:lang w:val="en-US"/>
        </w:rPr>
        <w:t>,</w:t>
      </w:r>
      <w:r>
        <w:rPr>
          <w:lang w:val="en-US"/>
        </w:rPr>
        <w:br/>
      </w:r>
      <w:r w:rsidRPr="00CA5C33">
        <w:rPr>
          <w:vertAlign w:val="superscript"/>
          <w:lang w:val="en-US"/>
        </w:rPr>
        <w:t>2</w:t>
      </w:r>
      <w:r w:rsidRPr="009D7A48">
        <w:rPr>
          <w:lang w:val="en-US"/>
        </w:rPr>
        <w:t>Institution "Project Center ITER", Moscow, Russia</w:t>
      </w:r>
      <w:r>
        <w:rPr>
          <w:lang w:val="en-US"/>
        </w:rPr>
        <w:t>.</w:t>
      </w:r>
      <w:r>
        <w:rPr>
          <w:lang w:val="en-US"/>
        </w:rPr>
        <w:br/>
      </w:r>
      <w:r w:rsidRPr="009D7A48">
        <w:rPr>
          <w:vertAlign w:val="superscript"/>
          <w:lang w:val="en-US"/>
        </w:rPr>
        <w:t>3</w:t>
      </w:r>
      <w:r w:rsidRPr="009D7A48">
        <w:rPr>
          <w:lang w:val="en-US"/>
        </w:rPr>
        <w:t>Novosibirsk State Technical University, Novosibirsk, Russia</w:t>
      </w:r>
      <w:r>
        <w:rPr>
          <w:lang w:val="en-US"/>
        </w:rPr>
        <w:t>,</w:t>
      </w:r>
      <w:r>
        <w:rPr>
          <w:lang w:val="en-US"/>
        </w:rPr>
        <w:br/>
      </w:r>
      <w:r w:rsidRPr="009D7A48">
        <w:rPr>
          <w:vertAlign w:val="superscript"/>
          <w:lang w:val="en-US"/>
        </w:rPr>
        <w:t>4</w:t>
      </w:r>
      <w:r w:rsidRPr="009D7A48">
        <w:rPr>
          <w:lang w:val="en-US"/>
        </w:rPr>
        <w:t>Novosibirsk State University, Novosibirsk, Russia</w:t>
      </w:r>
    </w:p>
    <w:p w:rsidR="005A7A1A" w:rsidRDefault="005A7A1A" w:rsidP="005A7A1A">
      <w:pPr>
        <w:pStyle w:val="Zv-bodyreport"/>
        <w:rPr>
          <w:lang w:val="en-US"/>
        </w:rPr>
      </w:pPr>
      <w:r w:rsidRPr="001D64E5">
        <w:rPr>
          <w:lang w:val="en-US"/>
        </w:rPr>
        <w:t xml:space="preserve">As part of the work on the </w:t>
      </w:r>
      <w:r>
        <w:rPr>
          <w:lang w:val="en-US"/>
        </w:rPr>
        <w:t xml:space="preserve">DNFM </w:t>
      </w:r>
      <w:r w:rsidRPr="001D64E5">
        <w:rPr>
          <w:lang w:val="en-US"/>
        </w:rPr>
        <w:t>prototype</w:t>
      </w:r>
      <w:r>
        <w:rPr>
          <w:lang w:val="en-US"/>
        </w:rPr>
        <w:t xml:space="preserve"> </w:t>
      </w:r>
      <w:r w:rsidRPr="001D64E5">
        <w:rPr>
          <w:lang w:val="en-US"/>
        </w:rPr>
        <w:t>diagnostic system, the production and testing</w:t>
      </w:r>
      <w:r>
        <w:rPr>
          <w:lang w:val="en-US"/>
        </w:rPr>
        <w:t xml:space="preserve"> </w:t>
      </w:r>
      <w:r w:rsidRPr="001D64E5">
        <w:rPr>
          <w:lang w:val="en-US"/>
        </w:rPr>
        <w:t>cycle</w:t>
      </w:r>
      <w:r>
        <w:rPr>
          <w:lang w:val="en-US"/>
        </w:rPr>
        <w:t>s</w:t>
      </w:r>
      <w:r w:rsidRPr="001D64E5">
        <w:rPr>
          <w:lang w:val="en-US"/>
        </w:rPr>
        <w:t xml:space="preserve"> w</w:t>
      </w:r>
      <w:r>
        <w:rPr>
          <w:lang w:val="en-US"/>
        </w:rPr>
        <w:t xml:space="preserve">ere </w:t>
      </w:r>
      <w:r w:rsidRPr="001D64E5">
        <w:rPr>
          <w:lang w:val="en-US"/>
        </w:rPr>
        <w:t>developed at the BINP SB RAS</w:t>
      </w:r>
      <w:r>
        <w:rPr>
          <w:lang w:val="en-US"/>
        </w:rPr>
        <w:t xml:space="preserve"> in 2022</w:t>
      </w:r>
      <w:r w:rsidRPr="001D64E5">
        <w:rPr>
          <w:lang w:val="en-US"/>
        </w:rPr>
        <w:t>.</w:t>
      </w:r>
    </w:p>
    <w:p w:rsidR="005A7A1A" w:rsidRDefault="005A7A1A" w:rsidP="005A7A1A">
      <w:pPr>
        <w:pStyle w:val="Zv-bodyreport"/>
        <w:rPr>
          <w:lang w:val="en-US"/>
        </w:rPr>
      </w:pPr>
      <w:r w:rsidRPr="001D64E5">
        <w:rPr>
          <w:lang w:val="en-US"/>
        </w:rPr>
        <w:t xml:space="preserve">In accordance with the requirements of </w:t>
      </w:r>
      <w:r>
        <w:rPr>
          <w:lang w:val="en-US"/>
        </w:rPr>
        <w:t xml:space="preserve">IO </w:t>
      </w:r>
      <w:r w:rsidRPr="001D64E5">
        <w:rPr>
          <w:lang w:val="en-US"/>
        </w:rPr>
        <w:t xml:space="preserve">ITER, special attention was paid to the development of special production </w:t>
      </w:r>
      <w:r>
        <w:rPr>
          <w:lang w:val="en-US"/>
        </w:rPr>
        <w:t xml:space="preserve">operation </w:t>
      </w:r>
      <w:r w:rsidRPr="001D64E5">
        <w:rPr>
          <w:lang w:val="en-US"/>
        </w:rPr>
        <w:t>procedures and methods for</w:t>
      </w:r>
      <w:r>
        <w:rPr>
          <w:lang w:val="en-US"/>
        </w:rPr>
        <w:t xml:space="preserve"> non-destructive tests</w:t>
      </w:r>
      <w:r w:rsidRPr="001D64E5">
        <w:rPr>
          <w:lang w:val="en-US"/>
        </w:rPr>
        <w:t>.</w:t>
      </w:r>
    </w:p>
    <w:p w:rsidR="005A7A1A" w:rsidRDefault="005A7A1A" w:rsidP="005A7A1A">
      <w:pPr>
        <w:pStyle w:val="Zv-bodyreport"/>
        <w:rPr>
          <w:lang w:val="en-US"/>
        </w:rPr>
      </w:pPr>
      <w:r>
        <w:rPr>
          <w:lang w:val="en-US"/>
        </w:rPr>
        <w:t xml:space="preserve">After prototype </w:t>
      </w:r>
      <w:r w:rsidRPr="001D64E5">
        <w:rPr>
          <w:lang w:val="en-US"/>
        </w:rPr>
        <w:t>production, a cycle of acceptance tests was carried out:</w:t>
      </w:r>
    </w:p>
    <w:p w:rsidR="005A7A1A" w:rsidRDefault="005A7A1A" w:rsidP="005A7A1A">
      <w:pPr>
        <w:pStyle w:val="a6"/>
        <w:numPr>
          <w:ilvl w:val="0"/>
          <w:numId w:val="8"/>
        </w:numPr>
        <w:spacing w:after="0"/>
        <w:ind w:left="567" w:hanging="357"/>
        <w:jc w:val="both"/>
        <w:rPr>
          <w:lang w:val="en-US"/>
        </w:rPr>
      </w:pPr>
      <w:r w:rsidRPr="001D64E5">
        <w:rPr>
          <w:lang w:val="en-US"/>
        </w:rPr>
        <w:t>Control of the geometric dimensions of the D</w:t>
      </w:r>
      <w:r>
        <w:rPr>
          <w:lang w:val="en-US"/>
        </w:rPr>
        <w:t xml:space="preserve">NFM </w:t>
      </w:r>
      <w:r w:rsidRPr="001D64E5">
        <w:rPr>
          <w:lang w:val="en-US"/>
        </w:rPr>
        <w:t>module;</w:t>
      </w:r>
    </w:p>
    <w:p w:rsidR="005A7A1A" w:rsidRDefault="005A7A1A" w:rsidP="005A7A1A">
      <w:pPr>
        <w:pStyle w:val="a6"/>
        <w:numPr>
          <w:ilvl w:val="0"/>
          <w:numId w:val="8"/>
        </w:numPr>
        <w:spacing w:after="0"/>
        <w:ind w:left="567" w:hanging="357"/>
        <w:jc w:val="both"/>
        <w:rPr>
          <w:lang w:val="en-US"/>
        </w:rPr>
      </w:pPr>
      <w:r>
        <w:rPr>
          <w:lang w:val="en-US"/>
        </w:rPr>
        <w:t>Leak testing of DNFM protective vessels</w:t>
      </w:r>
      <w:r w:rsidRPr="001D64E5">
        <w:rPr>
          <w:lang w:val="en-US"/>
        </w:rPr>
        <w:t>;</w:t>
      </w:r>
    </w:p>
    <w:p w:rsidR="005A7A1A" w:rsidRDefault="005A7A1A" w:rsidP="005A7A1A">
      <w:pPr>
        <w:pStyle w:val="a6"/>
        <w:numPr>
          <w:ilvl w:val="0"/>
          <w:numId w:val="8"/>
        </w:numPr>
        <w:spacing w:after="0"/>
        <w:ind w:left="567" w:hanging="357"/>
        <w:jc w:val="both"/>
        <w:rPr>
          <w:lang w:val="en-US"/>
        </w:rPr>
      </w:pPr>
      <w:r>
        <w:rPr>
          <w:lang w:val="en-US"/>
        </w:rPr>
        <w:t>Vibration tests of the D</w:t>
      </w:r>
      <w:r w:rsidRPr="001D64E5">
        <w:rPr>
          <w:lang w:val="en-US"/>
        </w:rPr>
        <w:t>N</w:t>
      </w:r>
      <w:r>
        <w:rPr>
          <w:lang w:val="en-US"/>
        </w:rPr>
        <w:t>FM</w:t>
      </w:r>
      <w:r w:rsidRPr="001D64E5">
        <w:rPr>
          <w:lang w:val="en-US"/>
        </w:rPr>
        <w:t xml:space="preserve"> module (mechanical tests);</w:t>
      </w:r>
    </w:p>
    <w:p w:rsidR="005A7A1A" w:rsidRPr="001D64E5" w:rsidRDefault="005A7A1A" w:rsidP="005A7A1A">
      <w:pPr>
        <w:pStyle w:val="a6"/>
        <w:numPr>
          <w:ilvl w:val="0"/>
          <w:numId w:val="8"/>
        </w:numPr>
        <w:ind w:left="567" w:hanging="357"/>
        <w:jc w:val="both"/>
        <w:rPr>
          <w:lang w:val="en-US"/>
        </w:rPr>
      </w:pPr>
      <w:r>
        <w:rPr>
          <w:lang w:val="en-US"/>
        </w:rPr>
        <w:t xml:space="preserve">Outgassing test </w:t>
      </w:r>
      <w:r w:rsidRPr="001D64E5">
        <w:rPr>
          <w:lang w:val="en-US"/>
        </w:rPr>
        <w:t>of the D</w:t>
      </w:r>
      <w:r>
        <w:rPr>
          <w:lang w:val="en-US"/>
        </w:rPr>
        <w:t>NFM</w:t>
      </w:r>
      <w:r w:rsidRPr="001D64E5">
        <w:rPr>
          <w:lang w:val="en-US"/>
        </w:rPr>
        <w:t xml:space="preserve"> module.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8"/>
        <w:gridCol w:w="5526"/>
      </w:tblGrid>
      <w:tr w:rsidR="005A7A1A" w:rsidRPr="00280040" w:rsidTr="00E844AA">
        <w:trPr>
          <w:trHeight w:val="4084"/>
        </w:trPr>
        <w:tc>
          <w:tcPr>
            <w:tcW w:w="4328" w:type="dxa"/>
          </w:tcPr>
          <w:p w:rsidR="005A7A1A" w:rsidRPr="00630C51" w:rsidRDefault="005A7A1A" w:rsidP="00E844A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30C51">
              <w:rPr>
                <w:noProof/>
              </w:rPr>
              <w:drawing>
                <wp:inline distT="0" distB="0" distL="0" distR="0">
                  <wp:extent cx="1866900" cy="23599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ымянный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913" cy="2367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</w:tcPr>
          <w:p w:rsidR="005A7A1A" w:rsidRPr="00630C51" w:rsidRDefault="005A7A1A" w:rsidP="00E844AA">
            <w:pPr>
              <w:rPr>
                <w:rFonts w:ascii="Times New Roman" w:hAnsi="Times New Roman" w:cs="Times New Roman"/>
                <w:noProof/>
              </w:rPr>
            </w:pPr>
            <w:r w:rsidRPr="00630C51">
              <w:rPr>
                <w:noProof/>
              </w:rPr>
              <w:drawing>
                <wp:inline distT="0" distB="0" distL="0" distR="0">
                  <wp:extent cx="3295650" cy="219710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748" cy="219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A1A" w:rsidRPr="00630C51" w:rsidTr="00E844AA">
        <w:tc>
          <w:tcPr>
            <w:tcW w:w="4328" w:type="dxa"/>
          </w:tcPr>
          <w:p w:rsidR="005A7A1A" w:rsidRPr="00630C51" w:rsidRDefault="005A7A1A" w:rsidP="00E8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Figure</w:t>
            </w:r>
            <w:r w:rsidRPr="00630C51">
              <w:rPr>
                <w:rFonts w:ascii="Times New Roman" w:hAnsi="Times New Roman" w:cs="Times New Roman"/>
                <w:sz w:val="24"/>
                <w:szCs w:val="24"/>
              </w:rPr>
              <w:t xml:space="preserve"> 1 – Прототип модуля ДМНП на вибростенде</w:t>
            </w:r>
          </w:p>
        </w:tc>
        <w:tc>
          <w:tcPr>
            <w:tcW w:w="5526" w:type="dxa"/>
          </w:tcPr>
          <w:p w:rsidR="005A7A1A" w:rsidRPr="00630C51" w:rsidRDefault="005A7A1A" w:rsidP="00E8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Figure</w:t>
            </w:r>
            <w:r w:rsidRPr="00630C51">
              <w:rPr>
                <w:rFonts w:ascii="Times New Roman" w:hAnsi="Times New Roman" w:cs="Times New Roman"/>
                <w:sz w:val="24"/>
                <w:szCs w:val="24"/>
              </w:rPr>
              <w:t xml:space="preserve"> 2 – Собственные резонансы </w:t>
            </w:r>
            <w:r w:rsidRPr="00630C51">
              <w:rPr>
                <w:rFonts w:ascii="Times New Roman" w:hAnsi="Times New Roman" w:cs="Times New Roman"/>
                <w:sz w:val="24"/>
                <w:szCs w:val="24"/>
              </w:rPr>
              <w:br/>
              <w:t>прототипа модуля ДМНП</w:t>
            </w:r>
          </w:p>
        </w:tc>
      </w:tr>
    </w:tbl>
    <w:p w:rsidR="005A7A1A" w:rsidRDefault="005A7A1A" w:rsidP="005A7A1A">
      <w:pPr>
        <w:pStyle w:val="Zv-bodyreport"/>
        <w:spacing w:before="120"/>
        <w:rPr>
          <w:lang w:val="en-US"/>
        </w:rPr>
      </w:pPr>
      <w:r w:rsidRPr="001D64E5">
        <w:rPr>
          <w:lang w:val="en-US"/>
        </w:rPr>
        <w:t xml:space="preserve">As a result of </w:t>
      </w:r>
      <w:r>
        <w:rPr>
          <w:lang w:val="en-US"/>
        </w:rPr>
        <w:t>leak testing of the D</w:t>
      </w:r>
      <w:r w:rsidRPr="001D64E5">
        <w:rPr>
          <w:lang w:val="en-US"/>
        </w:rPr>
        <w:t>N</w:t>
      </w:r>
      <w:r>
        <w:rPr>
          <w:lang w:val="en-US"/>
        </w:rPr>
        <w:t xml:space="preserve">FM </w:t>
      </w:r>
      <w:r w:rsidRPr="001D64E5">
        <w:rPr>
          <w:lang w:val="en-US"/>
        </w:rPr>
        <w:t xml:space="preserve">prototype, no leaks of test gas (helium) were detected. Thus, the internal volumes of the </w:t>
      </w:r>
      <w:r>
        <w:rPr>
          <w:lang w:val="en-US"/>
        </w:rPr>
        <w:t>prototype</w:t>
      </w:r>
      <w:r w:rsidRPr="001D64E5">
        <w:rPr>
          <w:lang w:val="en-US"/>
        </w:rPr>
        <w:t xml:space="preserve"> are completely hermetic and ensure th</w:t>
      </w:r>
      <w:r>
        <w:rPr>
          <w:lang w:val="en-US"/>
        </w:rPr>
        <w:t xml:space="preserve">e absence of leakage of protecting gas </w:t>
      </w:r>
      <w:r w:rsidRPr="001D64E5">
        <w:rPr>
          <w:lang w:val="en-US"/>
        </w:rPr>
        <w:t xml:space="preserve">into the </w:t>
      </w:r>
      <w:r>
        <w:rPr>
          <w:lang w:val="en-US"/>
        </w:rPr>
        <w:t>ITER vacuum chamber</w:t>
      </w:r>
      <w:r w:rsidRPr="001D64E5">
        <w:rPr>
          <w:lang w:val="en-US"/>
        </w:rPr>
        <w:t xml:space="preserve">. </w:t>
      </w:r>
    </w:p>
    <w:p w:rsidR="005A7A1A" w:rsidRPr="001D64E5" w:rsidRDefault="005A7A1A" w:rsidP="005A7A1A">
      <w:pPr>
        <w:pStyle w:val="Zv-bodyreport"/>
        <w:rPr>
          <w:color w:val="000000"/>
          <w:szCs w:val="26"/>
          <w:lang w:val="en-US"/>
        </w:rPr>
      </w:pPr>
      <w:r w:rsidRPr="001D64E5">
        <w:rPr>
          <w:lang w:val="en-US"/>
        </w:rPr>
        <w:t>Based on the results of mechanical testing of the DMNP prototype, no mechanical damage to the prototype structure was detected.</w:t>
      </w:r>
    </w:p>
    <w:p w:rsidR="005A7A1A" w:rsidRDefault="005A7A1A" w:rsidP="005A7A1A">
      <w:pPr>
        <w:pStyle w:val="Zv-bodyreport"/>
        <w:rPr>
          <w:lang w:val="en-US"/>
        </w:rPr>
      </w:pPr>
      <w:r w:rsidRPr="001D64E5">
        <w:rPr>
          <w:lang w:val="en-US"/>
        </w:rPr>
        <w:t>The results obtained</w:t>
      </w:r>
      <w:r w:rsidRPr="008B2AF5">
        <w:rPr>
          <w:lang w:val="en-US"/>
        </w:rPr>
        <w:t xml:space="preserve"> </w:t>
      </w:r>
      <w:r>
        <w:rPr>
          <w:lang w:val="en-US"/>
        </w:rPr>
        <w:t>during</w:t>
      </w:r>
      <w:r w:rsidRPr="001D64E5">
        <w:rPr>
          <w:lang w:val="en-US"/>
        </w:rPr>
        <w:t xml:space="preserve"> the acceptance tests confirmed the correctness of the selected engineering solutions. </w:t>
      </w:r>
    </w:p>
    <w:p w:rsidR="005A7A1A" w:rsidRPr="00CC608A" w:rsidRDefault="005A7A1A" w:rsidP="005A7A1A">
      <w:pPr>
        <w:pStyle w:val="Zv-bodyreport"/>
        <w:rPr>
          <w:lang w:val="en-US"/>
        </w:rPr>
      </w:pPr>
      <w:r>
        <w:rPr>
          <w:lang w:val="en-US"/>
        </w:rPr>
        <w:t>The design documentation of has been updated in accordance with the data obtained during acceptance tests.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41" w:rsidRDefault="004E2A41">
      <w:r>
        <w:separator/>
      </w:r>
    </w:p>
  </w:endnote>
  <w:endnote w:type="continuationSeparator" w:id="0">
    <w:p w:rsidR="004E2A41" w:rsidRDefault="004E2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62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62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FA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41" w:rsidRDefault="004E2A41">
      <w:r>
        <w:separator/>
      </w:r>
    </w:p>
  </w:footnote>
  <w:footnote w:type="continuationSeparator" w:id="0">
    <w:p w:rsidR="004E2A41" w:rsidRDefault="004E2A41">
      <w:r>
        <w:continuationSeparator/>
      </w:r>
    </w:p>
  </w:footnote>
  <w:footnote w:id="1">
    <w:p w:rsidR="00EA5FA9" w:rsidRPr="00EA5FA9" w:rsidRDefault="00EA5FA9">
      <w:pPr>
        <w:pStyle w:val="a9"/>
        <w:rPr>
          <w:lang w:val="en-US"/>
        </w:rPr>
      </w:pPr>
      <w:r w:rsidRPr="00EA5FA9">
        <w:rPr>
          <w:rStyle w:val="ab"/>
          <w:lang w:val="en-US"/>
        </w:rPr>
        <w:t>*)</w:t>
      </w:r>
      <w:r w:rsidRPr="00EA5FA9">
        <w:rPr>
          <w:lang w:val="en-US"/>
        </w:rPr>
        <w:t xml:space="preserve"> </w:t>
      </w:r>
      <w:hyperlink r:id="rId1" w:history="1">
        <w:r w:rsidRPr="00EA5FA9">
          <w:rPr>
            <w:rStyle w:val="ac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43625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94D8E"/>
    <w:multiLevelType w:val="hybridMultilevel"/>
    <w:tmpl w:val="2C9A685E"/>
    <w:lvl w:ilvl="0" w:tplc="1AE4F172">
      <w:start w:val="1"/>
      <w:numFmt w:val="bullet"/>
      <w:lvlText w:val="-"/>
      <w:lvlJc w:val="left"/>
      <w:pPr>
        <w:ind w:left="489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53A9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36255"/>
    <w:rsid w:val="00446025"/>
    <w:rsid w:val="004A77D1"/>
    <w:rsid w:val="004B4ACC"/>
    <w:rsid w:val="004B72AA"/>
    <w:rsid w:val="004E2A41"/>
    <w:rsid w:val="004F4E29"/>
    <w:rsid w:val="005074E3"/>
    <w:rsid w:val="00515724"/>
    <w:rsid w:val="00567C6F"/>
    <w:rsid w:val="00573BAD"/>
    <w:rsid w:val="0058676C"/>
    <w:rsid w:val="005A7A1A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0CF4"/>
    <w:rsid w:val="008850EF"/>
    <w:rsid w:val="00906FF7"/>
    <w:rsid w:val="009D3AC4"/>
    <w:rsid w:val="00AC53A9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A5FA9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A1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rsid w:val="005A7A1A"/>
    <w:rPr>
      <w:sz w:val="24"/>
      <w:szCs w:val="24"/>
    </w:rPr>
  </w:style>
  <w:style w:type="table" w:styleId="a8">
    <w:name w:val="Table Grid"/>
    <w:basedOn w:val="a1"/>
    <w:uiPriority w:val="59"/>
    <w:rsid w:val="005A7A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EA5FA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A5FA9"/>
  </w:style>
  <w:style w:type="character" w:styleId="ab">
    <w:name w:val="footnote reference"/>
    <w:basedOn w:val="a0"/>
    <w:rsid w:val="00EA5FA9"/>
    <w:rPr>
      <w:vertAlign w:val="superscript"/>
    </w:rPr>
  </w:style>
  <w:style w:type="character" w:styleId="ac">
    <w:name w:val="Hyperlink"/>
    <w:basedOn w:val="a0"/>
    <w:rsid w:val="00EA5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JI-Gavrilenko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D3D8E-A56D-4321-9F4C-AD709D36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11</TotalTime>
  <Pages>1</Pages>
  <Words>254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ITER DIVERTOR NEUTRON FLUX MONITOR PROTOTYPE</dc:title>
  <dc:creator/>
  <cp:lastModifiedBy>Сатунин</cp:lastModifiedBy>
  <cp:revision>3</cp:revision>
  <cp:lastPrinted>1601-01-01T00:00:00Z</cp:lastPrinted>
  <dcterms:created xsi:type="dcterms:W3CDTF">2023-02-22T11:01:00Z</dcterms:created>
  <dcterms:modified xsi:type="dcterms:W3CDTF">2023-05-22T14:22:00Z</dcterms:modified>
</cp:coreProperties>
</file>