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60" w:rsidRDefault="00037D60" w:rsidP="004F6D79">
      <w:pPr>
        <w:pStyle w:val="Zv-Titlereport"/>
        <w:spacing w:line="230" w:lineRule="auto"/>
      </w:pPr>
      <w:r w:rsidRPr="00AF1001">
        <w:t>Анализ влияния азота при синтезе алмазоподобных плёнок</w:t>
      </w:r>
      <w:r>
        <w:t xml:space="preserve"> с различными способами активации газа</w:t>
      </w:r>
      <w:r w:rsidRPr="005C6EE6">
        <w:t xml:space="preserve"> </w:t>
      </w:r>
      <w:r w:rsidR="004F6D79">
        <w:rPr>
          <w:rStyle w:val="ac"/>
        </w:rPr>
        <w:footnoteReference w:customMarkFollows="1" w:id="1"/>
        <w:t>*)</w:t>
      </w:r>
    </w:p>
    <w:p w:rsidR="00037D60" w:rsidRDefault="00037D60" w:rsidP="004F6D79">
      <w:pPr>
        <w:pStyle w:val="Zv-Author"/>
        <w:spacing w:line="230" w:lineRule="auto"/>
      </w:pPr>
      <w:r>
        <w:rPr>
          <w:vertAlign w:val="superscript"/>
        </w:rPr>
        <w:t>1</w:t>
      </w:r>
      <w:r>
        <w:t>Медведев А.</w:t>
      </w:r>
      <w:r w:rsidRPr="00AF1001">
        <w:t>Э.,</w:t>
      </w:r>
      <w:r>
        <w:t xml:space="preserve"> </w:t>
      </w:r>
      <w:r>
        <w:rPr>
          <w:vertAlign w:val="superscript"/>
        </w:rPr>
        <w:t>2</w:t>
      </w:r>
      <w:r>
        <w:t>Емельянов А.</w:t>
      </w:r>
      <w:r w:rsidRPr="00AF1001">
        <w:t>А.,</w:t>
      </w:r>
      <w:r w:rsidRPr="00037D60">
        <w:rPr>
          <w:vertAlign w:val="superscript"/>
        </w:rPr>
        <w:t xml:space="preserve"> </w:t>
      </w:r>
      <w:r>
        <w:rPr>
          <w:vertAlign w:val="superscript"/>
        </w:rPr>
        <w:t>2</w:t>
      </w:r>
      <w:r>
        <w:t>Юдин И.</w:t>
      </w:r>
      <w:r w:rsidRPr="00AF1001">
        <w:t>Б.,</w:t>
      </w:r>
      <w:r w:rsidRPr="00037D60">
        <w:rPr>
          <w:vertAlign w:val="superscript"/>
        </w:rPr>
        <w:t xml:space="preserve"> </w:t>
      </w:r>
      <w:r>
        <w:rPr>
          <w:vertAlign w:val="superscript"/>
        </w:rPr>
        <w:t>2</w:t>
      </w:r>
      <w:r>
        <w:t>Плотников М.</w:t>
      </w:r>
      <w:r w:rsidRPr="00AF1001">
        <w:t>Ю.,</w:t>
      </w:r>
      <w:r w:rsidRPr="00037D60">
        <w:rPr>
          <w:vertAlign w:val="superscript"/>
        </w:rPr>
        <w:t xml:space="preserve"> </w:t>
      </w:r>
      <w:r>
        <w:rPr>
          <w:vertAlign w:val="superscript"/>
        </w:rPr>
        <w:t>2</w:t>
      </w:r>
      <w:r>
        <w:t xml:space="preserve">Тимошенко Н.И., </w:t>
      </w:r>
      <w:r w:rsidRPr="00037D60">
        <w:rPr>
          <w:vertAlign w:val="superscript"/>
        </w:rPr>
        <w:t>3</w:t>
      </w:r>
      <w:r>
        <w:t>Окотруб А.</w:t>
      </w:r>
      <w:r w:rsidRPr="00AF1001">
        <w:t>В.</w:t>
      </w:r>
    </w:p>
    <w:p w:rsidR="00037D60" w:rsidRDefault="00037D60" w:rsidP="004F6D79">
      <w:pPr>
        <w:pStyle w:val="Zv-Organization"/>
        <w:spacing w:after="180" w:line="230" w:lineRule="auto"/>
      </w:pPr>
      <w:r>
        <w:rPr>
          <w:vertAlign w:val="superscript"/>
        </w:rPr>
        <w:t>1</w:t>
      </w:r>
      <w:r w:rsidRPr="00AF1001">
        <w:t>Институт лазерной физики СО РАН</w:t>
      </w:r>
      <w:r>
        <w:t xml:space="preserve">, </w:t>
      </w:r>
      <w:hyperlink r:id="rId8" w:history="1">
        <w:r w:rsidRPr="006C1F26">
          <w:rPr>
            <w:rStyle w:val="a7"/>
            <w:lang w:val="en-US"/>
          </w:rPr>
          <w:t>medvedev</w:t>
        </w:r>
        <w:r w:rsidRPr="006C1F26">
          <w:rPr>
            <w:rStyle w:val="a7"/>
          </w:rPr>
          <w:t>@</w:t>
        </w:r>
        <w:r w:rsidRPr="006C1F26">
          <w:rPr>
            <w:rStyle w:val="a7"/>
            <w:lang w:val="en-US"/>
          </w:rPr>
          <w:t>laser</w:t>
        </w:r>
        <w:r w:rsidRPr="006C1F26">
          <w:rPr>
            <w:rStyle w:val="a7"/>
          </w:rPr>
          <w:t>.</w:t>
        </w:r>
        <w:r w:rsidRPr="006C1F26">
          <w:rPr>
            <w:rStyle w:val="a7"/>
            <w:lang w:val="en-US"/>
          </w:rPr>
          <w:t>nsc</w:t>
        </w:r>
        <w:r w:rsidRPr="006C1F26">
          <w:rPr>
            <w:rStyle w:val="a7"/>
          </w:rPr>
          <w:t>.</w:t>
        </w:r>
        <w:r w:rsidRPr="006C1F26">
          <w:rPr>
            <w:rStyle w:val="a7"/>
            <w:lang w:val="en-US"/>
          </w:rPr>
          <w:t>ru</w:t>
        </w:r>
      </w:hyperlink>
      <w:r>
        <w:br/>
      </w:r>
      <w:r>
        <w:rPr>
          <w:vertAlign w:val="superscript"/>
        </w:rPr>
        <w:t>2</w:t>
      </w:r>
      <w:r w:rsidRPr="00AF1001">
        <w:t>Институт теплофизики СО РАН</w:t>
      </w:r>
      <w:r>
        <w:t xml:space="preserve">, </w:t>
      </w:r>
      <w:hyperlink r:id="rId9" w:history="1">
        <w:r w:rsidRPr="006C1F26">
          <w:rPr>
            <w:rStyle w:val="a7"/>
            <w:lang w:val="en-US"/>
          </w:rPr>
          <w:t>alemelyanov</w:t>
        </w:r>
        <w:r w:rsidRPr="006C1F26">
          <w:rPr>
            <w:rStyle w:val="a7"/>
          </w:rPr>
          <w:t>@</w:t>
        </w:r>
        <w:r w:rsidRPr="006C1F26">
          <w:rPr>
            <w:rStyle w:val="a7"/>
            <w:lang w:val="en-US"/>
          </w:rPr>
          <w:t>gmail</w:t>
        </w:r>
        <w:r w:rsidRPr="006C1F26">
          <w:rPr>
            <w:rStyle w:val="a7"/>
          </w:rPr>
          <w:t>.</w:t>
        </w:r>
        <w:r w:rsidRPr="006C1F26">
          <w:rPr>
            <w:rStyle w:val="a7"/>
            <w:lang w:val="en-US"/>
          </w:rPr>
          <w:t>com</w:t>
        </w:r>
      </w:hyperlink>
      <w:r>
        <w:br/>
      </w:r>
      <w:r w:rsidRPr="00037D60">
        <w:rPr>
          <w:vertAlign w:val="superscript"/>
        </w:rPr>
        <w:t>3</w:t>
      </w:r>
      <w:r w:rsidRPr="00204112">
        <w:t>Институт неорганической химии СО РАН</w:t>
      </w:r>
      <w:r>
        <w:t xml:space="preserve">, </w:t>
      </w:r>
      <w:hyperlink r:id="rId10" w:history="1">
        <w:r w:rsidRPr="006C1F26">
          <w:rPr>
            <w:rStyle w:val="a7"/>
            <w:lang w:val="en-US"/>
          </w:rPr>
          <w:t>spectrum</w:t>
        </w:r>
        <w:r w:rsidRPr="006C1F26">
          <w:rPr>
            <w:rStyle w:val="a7"/>
          </w:rPr>
          <w:t>@</w:t>
        </w:r>
        <w:r w:rsidRPr="006C1F26">
          <w:rPr>
            <w:rStyle w:val="a7"/>
            <w:lang w:val="en-US"/>
          </w:rPr>
          <w:t>niic</w:t>
        </w:r>
        <w:r w:rsidRPr="006C1F26">
          <w:rPr>
            <w:rStyle w:val="a7"/>
          </w:rPr>
          <w:t>.</w:t>
        </w:r>
        <w:r w:rsidRPr="006C1F26">
          <w:rPr>
            <w:rStyle w:val="a7"/>
            <w:lang w:val="en-US"/>
          </w:rPr>
          <w:t>nsc</w:t>
        </w:r>
        <w:r w:rsidRPr="006C1F26">
          <w:rPr>
            <w:rStyle w:val="a7"/>
          </w:rPr>
          <w:t>.</w:t>
        </w:r>
        <w:r w:rsidRPr="006C1F26">
          <w:rPr>
            <w:rStyle w:val="a7"/>
            <w:lang w:val="en-US"/>
          </w:rPr>
          <w:t>ru</w:t>
        </w:r>
      </w:hyperlink>
      <w:r w:rsidRPr="00163317">
        <w:t xml:space="preserve"> </w:t>
      </w:r>
    </w:p>
    <w:p w:rsidR="00037D60" w:rsidRDefault="00037D60" w:rsidP="004F6D79">
      <w:pPr>
        <w:pStyle w:val="Zv-bodyreport"/>
        <w:spacing w:line="230" w:lineRule="auto"/>
      </w:pPr>
      <w:r>
        <w:t xml:space="preserve">В работе проводится анализ влияния добавок азота на синтез алмазных плёнок при различных способах активации прекурсоров: 1. в СВЧ плазме потока газов при средних давлениях; 2. в СВЧ камере при низком давлении </w:t>
      </w:r>
      <w:r w:rsidRPr="008B0B6D">
        <w:t>[1]</w:t>
      </w:r>
      <w:r>
        <w:t xml:space="preserve">; 3. в потоке газов, активированных нагретой вольфрамовой нитью </w:t>
      </w:r>
      <w:r w:rsidRPr="008B0B6D">
        <w:t>[</w:t>
      </w:r>
      <w:r>
        <w:t>2</w:t>
      </w:r>
      <w:r w:rsidRPr="008B0B6D">
        <w:t>]</w:t>
      </w:r>
      <w:r>
        <w:t>.</w:t>
      </w:r>
    </w:p>
    <w:p w:rsidR="00037D60" w:rsidRDefault="00037D60" w:rsidP="004F6D79">
      <w:pPr>
        <w:pStyle w:val="Zv-bodyreport"/>
        <w:spacing w:line="230" w:lineRule="auto"/>
      </w:pPr>
      <w:r>
        <w:t>Добавки азота интересны, поскольку в</w:t>
      </w:r>
      <w:r w:rsidRPr="00881A31">
        <w:t>озле включений примеси азота возникают вакансии [</w:t>
      </w:r>
      <w:r>
        <w:t>3</w:t>
      </w:r>
      <w:r w:rsidRPr="00881A31">
        <w:t>], которые при концентрации более 0,1% имеют особое значение для термодинамической стабилизации структуры по отношению к переходу алмаз-графит [</w:t>
      </w:r>
      <w:r>
        <w:t>4</w:t>
      </w:r>
      <w:r w:rsidRPr="00881A31">
        <w:t>], обеспе</w:t>
      </w:r>
      <w:r>
        <w:t>чивая CVD рост алмаза в метаста</w:t>
      </w:r>
      <w:r w:rsidRPr="00881A31">
        <w:t>бильном состоянии. Также азот является наиболее п</w:t>
      </w:r>
      <w:r>
        <w:t>одходящим кандидатом на роль до</w:t>
      </w:r>
      <w:r w:rsidRPr="00881A31">
        <w:t>пирующего агента при получении электронной примесной проводимости с глубоким донорным энергетическим уровнем (около 1,7 эВ). К</w:t>
      </w:r>
      <w:r>
        <w:t>роме того, при использовании ал</w:t>
      </w:r>
      <w:r w:rsidRPr="00881A31">
        <w:t>маза в качестве малоразмерной системы для ква</w:t>
      </w:r>
      <w:r>
        <w:t>нтовой информатики пер</w:t>
      </w:r>
      <w:r w:rsidRPr="00881A31">
        <w:t xml:space="preserve">спективными </w:t>
      </w:r>
      <w:r>
        <w:t>являются</w:t>
      </w:r>
      <w:r w:rsidRPr="00881A31">
        <w:t xml:space="preserve"> азотно-вакансионные дефекты NV</w:t>
      </w:r>
      <w:r>
        <w:rPr>
          <w:vertAlign w:val="superscript"/>
        </w:rPr>
        <w:t>--</w:t>
      </w:r>
      <w:r w:rsidRPr="00881A31">
        <w:t>. Н</w:t>
      </w:r>
      <w:r>
        <w:t>аконец, добавление азота в газо</w:t>
      </w:r>
      <w:r w:rsidRPr="00881A31">
        <w:t>вую смесь ускоряет рост граней {100} по отношению к {111} до 4-х раз [</w:t>
      </w:r>
      <w:r>
        <w:t>5</w:t>
      </w:r>
      <w:r w:rsidRPr="00881A31">
        <w:t>], позволяя управлять структурой кристаллов алмаза в процессе</w:t>
      </w:r>
      <w:r>
        <w:t xml:space="preserve"> газофазного химического осажде</w:t>
      </w:r>
      <w:r w:rsidRPr="00881A31">
        <w:t>ния.</w:t>
      </w:r>
    </w:p>
    <w:tbl>
      <w:tblPr>
        <w:tblW w:w="9639" w:type="dxa"/>
        <w:tblInd w:w="108" w:type="dxa"/>
        <w:tblLayout w:type="fixed"/>
        <w:tblLook w:val="00A0"/>
      </w:tblPr>
      <w:tblGrid>
        <w:gridCol w:w="3969"/>
        <w:gridCol w:w="2835"/>
        <w:gridCol w:w="2835"/>
      </w:tblGrid>
      <w:tr w:rsidR="00037D60" w:rsidRPr="009F6101" w:rsidTr="00A8430D">
        <w:trPr>
          <w:trHeight w:val="2220"/>
        </w:trPr>
        <w:tc>
          <w:tcPr>
            <w:tcW w:w="3969" w:type="dxa"/>
            <w:vMerge w:val="restart"/>
          </w:tcPr>
          <w:p w:rsidR="00037D60" w:rsidRDefault="00037D60" w:rsidP="004F6D79">
            <w:pPr>
              <w:spacing w:line="230" w:lineRule="auto"/>
              <w:jc w:val="both"/>
              <w:rPr>
                <w:noProof/>
                <w:sz w:val="16"/>
                <w:szCs w:val="16"/>
                <w:bdr w:val="single" w:sz="4" w:space="0" w:color="auto"/>
              </w:rPr>
            </w:pPr>
          </w:p>
          <w:p w:rsidR="00037D60" w:rsidRDefault="00037D60" w:rsidP="004F6D79">
            <w:pPr>
              <w:spacing w:line="230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2114550" cy="220356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203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37D60" w:rsidRPr="00B64105" w:rsidRDefault="00037D60" w:rsidP="004F6D79">
            <w:pPr>
              <w:spacing w:line="230" w:lineRule="auto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037D60" w:rsidRPr="005D4708" w:rsidRDefault="00037D60" w:rsidP="004F6D79">
            <w:pPr>
              <w:spacing w:line="230" w:lineRule="auto"/>
              <w:rPr>
                <w:sz w:val="16"/>
                <w:szCs w:val="16"/>
              </w:rPr>
            </w:pPr>
          </w:p>
          <w:p w:rsidR="00037D60" w:rsidRPr="005D4708" w:rsidRDefault="00037D60" w:rsidP="004F6D79">
            <w:pPr>
              <w:spacing w:line="230" w:lineRule="auto"/>
              <w:rPr>
                <w:sz w:val="16"/>
                <w:szCs w:val="16"/>
              </w:rPr>
            </w:pPr>
            <w:r>
              <w:object w:dxaOrig="384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25pt;height:96pt" o:ole="">
                  <v:imagedata r:id="rId12" o:title=""/>
                </v:shape>
                <o:OLEObject Type="Embed" ProgID="PBrush" ShapeID="_x0000_i1025" DrawAspect="Content" ObjectID="_1684237437" r:id="rId13"/>
              </w:object>
            </w:r>
          </w:p>
        </w:tc>
        <w:tc>
          <w:tcPr>
            <w:tcW w:w="2835" w:type="dxa"/>
          </w:tcPr>
          <w:p w:rsidR="00037D60" w:rsidRPr="005D4708" w:rsidRDefault="00037D60" w:rsidP="004F6D79">
            <w:pPr>
              <w:spacing w:line="230" w:lineRule="auto"/>
              <w:rPr>
                <w:sz w:val="16"/>
                <w:szCs w:val="16"/>
              </w:rPr>
            </w:pPr>
          </w:p>
          <w:p w:rsidR="00037D60" w:rsidRPr="005D4708" w:rsidRDefault="00037D60" w:rsidP="004F6D79">
            <w:pPr>
              <w:spacing w:line="230" w:lineRule="auto"/>
              <w:rPr>
                <w:sz w:val="16"/>
                <w:szCs w:val="16"/>
              </w:rPr>
            </w:pPr>
            <w:r>
              <w:object w:dxaOrig="3840" w:dyaOrig="2880">
                <v:shape id="_x0000_i1026" type="#_x0000_t75" style="width:129.75pt;height:97.5pt" o:ole="">
                  <v:imagedata r:id="rId14" o:title=""/>
                </v:shape>
                <o:OLEObject Type="Embed" ProgID="PBrush" ShapeID="_x0000_i1026" DrawAspect="Content" ObjectID="_1684237438" r:id="rId15"/>
              </w:object>
            </w:r>
          </w:p>
        </w:tc>
      </w:tr>
      <w:tr w:rsidR="00037D60" w:rsidRPr="009F6101" w:rsidTr="00A8430D">
        <w:trPr>
          <w:trHeight w:val="1463"/>
        </w:trPr>
        <w:tc>
          <w:tcPr>
            <w:tcW w:w="3969" w:type="dxa"/>
            <w:vMerge/>
          </w:tcPr>
          <w:p w:rsidR="00037D60" w:rsidRDefault="00037D60" w:rsidP="004F6D79">
            <w:pPr>
              <w:spacing w:line="230" w:lineRule="auto"/>
              <w:jc w:val="both"/>
              <w:rPr>
                <w:noProof/>
              </w:rPr>
            </w:pPr>
          </w:p>
        </w:tc>
        <w:tc>
          <w:tcPr>
            <w:tcW w:w="5670" w:type="dxa"/>
            <w:gridSpan w:val="2"/>
          </w:tcPr>
          <w:p w:rsidR="00037D60" w:rsidRDefault="00037D60" w:rsidP="004F6D79">
            <w:pPr>
              <w:spacing w:line="230" w:lineRule="auto"/>
              <w:rPr>
                <w:sz w:val="22"/>
                <w:szCs w:val="22"/>
              </w:rPr>
            </w:pPr>
            <w:r w:rsidRPr="00E53015">
              <w:rPr>
                <w:sz w:val="22"/>
                <w:szCs w:val="22"/>
              </w:rPr>
              <w:t xml:space="preserve">Рис. </w:t>
            </w:r>
            <w:r>
              <w:rPr>
                <w:sz w:val="22"/>
                <w:szCs w:val="22"/>
              </w:rPr>
              <w:t>1</w:t>
            </w:r>
            <w:r w:rsidRPr="00E53015">
              <w:rPr>
                <w:sz w:val="22"/>
                <w:szCs w:val="22"/>
              </w:rPr>
              <w:t xml:space="preserve">. Снимки РЭМ: а – образец №543 (без азота); </w:t>
            </w:r>
          </w:p>
          <w:p w:rsidR="00037D60" w:rsidRDefault="00037D60" w:rsidP="004F6D79">
            <w:pPr>
              <w:spacing w:line="230" w:lineRule="auto"/>
              <w:rPr>
                <w:sz w:val="22"/>
                <w:szCs w:val="22"/>
              </w:rPr>
            </w:pPr>
            <w:r w:rsidRPr="00E53015">
              <w:rPr>
                <w:sz w:val="22"/>
                <w:szCs w:val="22"/>
              </w:rPr>
              <w:t>б – образец №544 (с добав</w:t>
            </w:r>
            <w:r>
              <w:rPr>
                <w:sz w:val="22"/>
                <w:szCs w:val="22"/>
              </w:rPr>
              <w:t>лением</w:t>
            </w:r>
            <w:r w:rsidRPr="00E53015">
              <w:rPr>
                <w:sz w:val="22"/>
                <w:szCs w:val="22"/>
              </w:rPr>
              <w:t xml:space="preserve"> 0,1% азота).</w:t>
            </w:r>
          </w:p>
          <w:p w:rsidR="00037D60" w:rsidRPr="005D4708" w:rsidRDefault="00037D60" w:rsidP="004F6D79">
            <w:pPr>
              <w:spacing w:line="230" w:lineRule="auto"/>
              <w:jc w:val="both"/>
              <w:rPr>
                <w:sz w:val="16"/>
                <w:szCs w:val="16"/>
              </w:rPr>
            </w:pPr>
          </w:p>
          <w:p w:rsidR="00037D60" w:rsidRPr="00E53015" w:rsidRDefault="00037D60" w:rsidP="004F6D79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53015">
              <w:rPr>
                <w:sz w:val="22"/>
                <w:szCs w:val="22"/>
              </w:rPr>
              <w:t xml:space="preserve">Рис. </w:t>
            </w:r>
            <w:r>
              <w:rPr>
                <w:sz w:val="22"/>
                <w:szCs w:val="22"/>
              </w:rPr>
              <w:t>2</w:t>
            </w:r>
            <w:r w:rsidRPr="00E53015">
              <w:rPr>
                <w:sz w:val="22"/>
                <w:szCs w:val="22"/>
              </w:rPr>
              <w:t>. Спектр КРС алмазоподобной плёнки полученной при активации газовой смеси накалённой вольфрамовой нитью.</w:t>
            </w:r>
          </w:p>
          <w:p w:rsidR="00037D60" w:rsidRPr="005D4708" w:rsidRDefault="00037D60" w:rsidP="004F6D79">
            <w:pPr>
              <w:spacing w:line="230" w:lineRule="auto"/>
              <w:rPr>
                <w:sz w:val="16"/>
                <w:szCs w:val="16"/>
              </w:rPr>
            </w:pPr>
          </w:p>
        </w:tc>
      </w:tr>
    </w:tbl>
    <w:p w:rsidR="00037D60" w:rsidRDefault="00037D60" w:rsidP="004F6D79">
      <w:pPr>
        <w:pStyle w:val="Zv-bodyreport"/>
        <w:spacing w:line="230" w:lineRule="auto"/>
      </w:pPr>
      <w:r>
        <w:t>По результатам измерения КРС спектра можно увидеть, что оптимальное содержание азота в смеси не более 0,1%. Добавка азота сужает линию алмаза 1333 см</w:t>
      </w:r>
      <w:r w:rsidRPr="00E53015">
        <w:rPr>
          <w:vertAlign w:val="superscript"/>
        </w:rPr>
        <w:t>-1</w:t>
      </w:r>
      <w:r>
        <w:t>, в нашем случае, от 20 см</w:t>
      </w:r>
      <w:r w:rsidRPr="00E53015">
        <w:rPr>
          <w:vertAlign w:val="superscript"/>
        </w:rPr>
        <w:t>-1</w:t>
      </w:r>
      <w:r>
        <w:t xml:space="preserve"> до 7 см</w:t>
      </w:r>
      <w:r w:rsidRPr="00E53015">
        <w:rPr>
          <w:vertAlign w:val="superscript"/>
        </w:rPr>
        <w:t>-1</w:t>
      </w:r>
      <w:r>
        <w:t>. Характер G - линии  говорит о том, что присутствующий графит находится в сильно разупорядоченном (сажеподобном) состоянии. Более высокую упорядоченность кристаллов при добавлении азота подтверждают и снимки РЭМ.</w:t>
      </w:r>
    </w:p>
    <w:p w:rsidR="00037D60" w:rsidRDefault="00037D60" w:rsidP="004F6D79">
      <w:pPr>
        <w:pStyle w:val="Zv-bodyreport"/>
        <w:spacing w:line="230" w:lineRule="auto"/>
      </w:pPr>
      <w:r>
        <w:t>Работа выполнена при поддержке РФФИ (№ 18-29-19069 мк, № 18-29-19130 мк и № 19-08-00533)</w:t>
      </w:r>
      <w:r w:rsidRPr="00E53015">
        <w:t xml:space="preserve"> и </w:t>
      </w:r>
      <w:r>
        <w:t>проекта госзадания</w:t>
      </w:r>
      <w:r w:rsidRPr="00E53015">
        <w:t xml:space="preserve"> (AAAA-A17-117021750017-0)</w:t>
      </w:r>
      <w:r>
        <w:t>.</w:t>
      </w:r>
    </w:p>
    <w:p w:rsidR="00037D60" w:rsidRPr="002646ED" w:rsidRDefault="00037D60" w:rsidP="004F6D79">
      <w:pPr>
        <w:pStyle w:val="Zv-TitleReferences-ru"/>
        <w:spacing w:line="230" w:lineRule="auto"/>
        <w:rPr>
          <w:lang w:val="en-US"/>
        </w:rPr>
      </w:pPr>
      <w:r>
        <w:t>Литература</w:t>
      </w:r>
    </w:p>
    <w:p w:rsidR="00037D60" w:rsidRPr="000C2E78" w:rsidRDefault="00037D60" w:rsidP="004F6D79">
      <w:pPr>
        <w:pStyle w:val="Zv-References-ru"/>
        <w:numPr>
          <w:ilvl w:val="0"/>
          <w:numId w:val="1"/>
        </w:numPr>
        <w:spacing w:line="230" w:lineRule="auto"/>
      </w:pPr>
      <w:r>
        <w:t>Поляков</w:t>
      </w:r>
      <w:r w:rsidRPr="000C2E78">
        <w:t xml:space="preserve"> </w:t>
      </w:r>
      <w:r>
        <w:t>О</w:t>
      </w:r>
      <w:r w:rsidRPr="000C2E78">
        <w:t>.</w:t>
      </w:r>
      <w:r>
        <w:t>В</w:t>
      </w:r>
      <w:r w:rsidRPr="000C2E78">
        <w:t xml:space="preserve">., </w:t>
      </w:r>
      <w:r>
        <w:t>Городецкий</w:t>
      </w:r>
      <w:r w:rsidRPr="000C2E78">
        <w:t xml:space="preserve"> </w:t>
      </w:r>
      <w:r>
        <w:t>Д</w:t>
      </w:r>
      <w:r w:rsidRPr="000C2E78">
        <w:t>.</w:t>
      </w:r>
      <w:r>
        <w:t>В</w:t>
      </w:r>
      <w:r w:rsidRPr="000C2E78">
        <w:t xml:space="preserve">., </w:t>
      </w:r>
      <w:r>
        <w:t>Окотруб</w:t>
      </w:r>
      <w:r w:rsidRPr="000C2E78">
        <w:t xml:space="preserve"> </w:t>
      </w:r>
      <w:r>
        <w:t>А</w:t>
      </w:r>
      <w:r w:rsidRPr="000C2E78">
        <w:t>.</w:t>
      </w:r>
      <w:r>
        <w:t>В</w:t>
      </w:r>
      <w:r w:rsidRPr="000C2E78">
        <w:t xml:space="preserve">. </w:t>
      </w:r>
      <w:r>
        <w:t>Письма</w:t>
      </w:r>
      <w:r w:rsidRPr="000C2E78">
        <w:t xml:space="preserve"> </w:t>
      </w:r>
      <w:r>
        <w:t>в</w:t>
      </w:r>
      <w:r w:rsidRPr="000C2E78">
        <w:t xml:space="preserve"> </w:t>
      </w:r>
      <w:r>
        <w:t>ЖТФ</w:t>
      </w:r>
      <w:r w:rsidRPr="000C2E78">
        <w:t xml:space="preserve">, </w:t>
      </w:r>
      <w:r w:rsidRPr="000C2E78">
        <w:rPr>
          <w:b/>
        </w:rPr>
        <w:t>39</w:t>
      </w:r>
      <w:r w:rsidRPr="000C2E78">
        <w:t xml:space="preserve"> 13 (2013).</w:t>
      </w:r>
    </w:p>
    <w:p w:rsidR="00037D60" w:rsidRPr="00CD260E" w:rsidRDefault="00037D60" w:rsidP="004F6D79">
      <w:pPr>
        <w:pStyle w:val="Zv-References-ru"/>
        <w:numPr>
          <w:ilvl w:val="0"/>
          <w:numId w:val="1"/>
        </w:numPr>
        <w:spacing w:line="230" w:lineRule="auto"/>
      </w:pPr>
      <w:r>
        <w:t>Емельянов</w:t>
      </w:r>
      <w:r w:rsidRPr="00CD260E">
        <w:t xml:space="preserve"> </w:t>
      </w:r>
      <w:r>
        <w:t>А</w:t>
      </w:r>
      <w:r w:rsidRPr="00CD260E">
        <w:t>.</w:t>
      </w:r>
      <w:r>
        <w:t>А</w:t>
      </w:r>
      <w:r w:rsidRPr="00CD260E">
        <w:t xml:space="preserve">., </w:t>
      </w:r>
      <w:r>
        <w:t>Плотников</w:t>
      </w:r>
      <w:r w:rsidRPr="00CD260E">
        <w:t xml:space="preserve"> </w:t>
      </w:r>
      <w:r>
        <w:t>М</w:t>
      </w:r>
      <w:r w:rsidRPr="00CD260E">
        <w:t>.</w:t>
      </w:r>
      <w:r>
        <w:t>Ю</w:t>
      </w:r>
      <w:r w:rsidRPr="00CD260E">
        <w:t xml:space="preserve">., </w:t>
      </w:r>
      <w:r>
        <w:t>Юдин</w:t>
      </w:r>
      <w:r w:rsidRPr="00CD260E">
        <w:t xml:space="preserve"> </w:t>
      </w:r>
      <w:r>
        <w:t>И</w:t>
      </w:r>
      <w:r w:rsidRPr="00CD260E">
        <w:t>.</w:t>
      </w:r>
      <w:r>
        <w:t>Б</w:t>
      </w:r>
      <w:r w:rsidRPr="00CD260E">
        <w:t xml:space="preserve">. </w:t>
      </w:r>
      <w:r>
        <w:t>Журнал</w:t>
      </w:r>
      <w:r w:rsidRPr="00CD260E">
        <w:t xml:space="preserve"> </w:t>
      </w:r>
      <w:r>
        <w:t>технич</w:t>
      </w:r>
      <w:r w:rsidRPr="00CD260E">
        <w:t xml:space="preserve">. </w:t>
      </w:r>
      <w:r>
        <w:t>физики</w:t>
      </w:r>
      <w:r w:rsidRPr="00CD260E">
        <w:t xml:space="preserve">, </w:t>
      </w:r>
      <w:r w:rsidRPr="00CD260E">
        <w:rPr>
          <w:b/>
        </w:rPr>
        <w:t xml:space="preserve">89 </w:t>
      </w:r>
      <w:r w:rsidRPr="00CD260E">
        <w:t>1891</w:t>
      </w:r>
      <w:r>
        <w:t xml:space="preserve"> </w:t>
      </w:r>
      <w:r w:rsidRPr="00CD260E">
        <w:t>(2019).</w:t>
      </w:r>
    </w:p>
    <w:p w:rsidR="00037D60" w:rsidRPr="008B0B6D" w:rsidRDefault="00037D60" w:rsidP="004F6D79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2646ED">
        <w:rPr>
          <w:lang w:val="en-US"/>
        </w:rPr>
        <w:t>Davies</w:t>
      </w:r>
      <w:r w:rsidRPr="00CD260E">
        <w:rPr>
          <w:lang w:val="en-US"/>
        </w:rPr>
        <w:t xml:space="preserve"> </w:t>
      </w:r>
      <w:r w:rsidRPr="002646ED">
        <w:rPr>
          <w:lang w:val="en-US"/>
        </w:rPr>
        <w:t>G., Lawson</w:t>
      </w:r>
      <w:r w:rsidRPr="00CD260E">
        <w:rPr>
          <w:lang w:val="en-US"/>
        </w:rPr>
        <w:t xml:space="preserve"> </w:t>
      </w:r>
      <w:r w:rsidRPr="002646ED">
        <w:rPr>
          <w:lang w:val="en-US"/>
        </w:rPr>
        <w:t>S., Collins</w:t>
      </w:r>
      <w:r w:rsidRPr="00CD260E">
        <w:rPr>
          <w:lang w:val="en-US"/>
        </w:rPr>
        <w:t xml:space="preserve"> </w:t>
      </w:r>
      <w:r w:rsidRPr="002646ED">
        <w:rPr>
          <w:lang w:val="en-US"/>
        </w:rPr>
        <w:t>A., Mainwood</w:t>
      </w:r>
      <w:r w:rsidRPr="00CD260E">
        <w:rPr>
          <w:lang w:val="en-US"/>
        </w:rPr>
        <w:t xml:space="preserve"> </w:t>
      </w:r>
      <w:r w:rsidRPr="002646ED">
        <w:rPr>
          <w:lang w:val="en-US"/>
        </w:rPr>
        <w:t>A., Sharp</w:t>
      </w:r>
      <w:r w:rsidRPr="00CD260E">
        <w:rPr>
          <w:lang w:val="en-US"/>
        </w:rPr>
        <w:t xml:space="preserve"> </w:t>
      </w:r>
      <w:r w:rsidRPr="002646ED">
        <w:rPr>
          <w:lang w:val="en-US"/>
        </w:rPr>
        <w:t xml:space="preserve">S. </w:t>
      </w:r>
      <w:r w:rsidRPr="008B0B6D">
        <w:rPr>
          <w:lang w:val="en-US"/>
        </w:rPr>
        <w:t xml:space="preserve">Phyical Review, </w:t>
      </w:r>
      <w:r w:rsidRPr="008B0B6D">
        <w:rPr>
          <w:b/>
          <w:lang w:val="en-US"/>
        </w:rPr>
        <w:t>B</w:t>
      </w:r>
      <w:r w:rsidRPr="00CD260E">
        <w:rPr>
          <w:lang w:val="en-US"/>
        </w:rPr>
        <w:t xml:space="preserve"> </w:t>
      </w:r>
      <w:r w:rsidRPr="008B0B6D">
        <w:rPr>
          <w:lang w:val="en-US"/>
        </w:rPr>
        <w:t>46</w:t>
      </w:r>
      <w:r w:rsidRPr="00CD260E">
        <w:rPr>
          <w:lang w:val="en-US"/>
        </w:rPr>
        <w:t xml:space="preserve"> </w:t>
      </w:r>
      <w:r w:rsidRPr="008B0B6D">
        <w:rPr>
          <w:lang w:val="en-US"/>
        </w:rPr>
        <w:t>(1992).</w:t>
      </w:r>
    </w:p>
    <w:p w:rsidR="00037D60" w:rsidRPr="00CD260E" w:rsidRDefault="00037D60" w:rsidP="004F6D79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2646ED">
        <w:rPr>
          <w:lang w:val="en-US"/>
        </w:rPr>
        <w:t>Bar-Yam</w:t>
      </w:r>
      <w:r w:rsidRPr="00DC0403">
        <w:rPr>
          <w:lang w:val="en-US"/>
        </w:rPr>
        <w:t xml:space="preserve"> </w:t>
      </w:r>
      <w:r w:rsidRPr="002646ED">
        <w:rPr>
          <w:lang w:val="en-US"/>
        </w:rPr>
        <w:t>Y., Moustakas</w:t>
      </w:r>
      <w:r w:rsidRPr="00DC0403">
        <w:rPr>
          <w:lang w:val="en-US"/>
        </w:rPr>
        <w:t xml:space="preserve"> </w:t>
      </w:r>
      <w:r w:rsidRPr="002646ED">
        <w:rPr>
          <w:lang w:val="en-US"/>
        </w:rPr>
        <w:t xml:space="preserve">T.D. </w:t>
      </w:r>
      <w:r w:rsidRPr="00CD260E">
        <w:rPr>
          <w:lang w:val="en-US"/>
        </w:rPr>
        <w:t xml:space="preserve">Nature, </w:t>
      </w:r>
      <w:r w:rsidRPr="00CD260E">
        <w:rPr>
          <w:b/>
          <w:lang w:val="en-US"/>
        </w:rPr>
        <w:t>342</w:t>
      </w:r>
      <w:r w:rsidRPr="00CD260E">
        <w:rPr>
          <w:lang w:val="en-US"/>
        </w:rPr>
        <w:t xml:space="preserve"> 786</w:t>
      </w:r>
      <w:r w:rsidRPr="00DC0403">
        <w:rPr>
          <w:lang w:val="en-US"/>
        </w:rPr>
        <w:t xml:space="preserve"> </w:t>
      </w:r>
      <w:r w:rsidRPr="00CD260E">
        <w:rPr>
          <w:lang w:val="en-US"/>
        </w:rPr>
        <w:t>(1989).</w:t>
      </w:r>
    </w:p>
    <w:p w:rsidR="00037D60" w:rsidRPr="00531DD9" w:rsidRDefault="00037D60" w:rsidP="004F6D79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8B0B6D">
        <w:rPr>
          <w:lang w:val="en-US"/>
        </w:rPr>
        <w:t>Yiming</w:t>
      </w:r>
      <w:r w:rsidRPr="00CD260E">
        <w:rPr>
          <w:lang w:val="en-US"/>
        </w:rPr>
        <w:t xml:space="preserve"> </w:t>
      </w:r>
      <w:r w:rsidRPr="008B0B6D">
        <w:rPr>
          <w:lang w:val="en-US"/>
        </w:rPr>
        <w:t>Z., Larsson</w:t>
      </w:r>
      <w:r w:rsidRPr="00CD260E">
        <w:rPr>
          <w:lang w:val="en-US"/>
        </w:rPr>
        <w:t xml:space="preserve"> </w:t>
      </w:r>
      <w:r w:rsidRPr="008B0B6D">
        <w:rPr>
          <w:lang w:val="en-US"/>
        </w:rPr>
        <w:t>F., Larsson</w:t>
      </w:r>
      <w:r w:rsidRPr="00CD260E">
        <w:rPr>
          <w:lang w:val="en-US"/>
        </w:rPr>
        <w:t xml:space="preserve"> </w:t>
      </w:r>
      <w:r w:rsidRPr="008B0B6D">
        <w:rPr>
          <w:lang w:val="en-US"/>
        </w:rPr>
        <w:t xml:space="preserve">K.  </w:t>
      </w:r>
      <w:r w:rsidRPr="00CD260E">
        <w:rPr>
          <w:lang w:val="en-US"/>
        </w:rPr>
        <w:t xml:space="preserve">Theoretical Chemistry Accounts, </w:t>
      </w:r>
      <w:r w:rsidRPr="00CD260E">
        <w:rPr>
          <w:b/>
          <w:lang w:val="en-US"/>
        </w:rPr>
        <w:t>133</w:t>
      </w:r>
      <w:r w:rsidRPr="00CC4FE4">
        <w:rPr>
          <w:lang w:val="en-US"/>
        </w:rPr>
        <w:t xml:space="preserve"> </w:t>
      </w:r>
      <w:r w:rsidRPr="00CD260E">
        <w:rPr>
          <w:lang w:val="en-US"/>
        </w:rPr>
        <w:t>1432</w:t>
      </w:r>
      <w:r w:rsidRPr="00CC4FE4">
        <w:rPr>
          <w:lang w:val="en-US"/>
        </w:rPr>
        <w:t xml:space="preserve"> </w:t>
      </w:r>
      <w:r w:rsidRPr="00CD260E">
        <w:rPr>
          <w:lang w:val="en-US"/>
        </w:rPr>
        <w:t>(2014).</w:t>
      </w:r>
    </w:p>
    <w:sectPr w:rsidR="00037D60" w:rsidRPr="00531DD9" w:rsidSect="00F95123">
      <w:headerReference w:type="default" r:id="rId16"/>
      <w:footerReference w:type="even" r:id="rId17"/>
      <w:footerReference w:type="default" r:id="rId1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CA5" w:rsidRDefault="00414CA5">
      <w:r>
        <w:separator/>
      </w:r>
    </w:p>
  </w:endnote>
  <w:endnote w:type="continuationSeparator" w:id="0">
    <w:p w:rsidR="00414CA5" w:rsidRDefault="00414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425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425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021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CA5" w:rsidRDefault="00414CA5">
      <w:r>
        <w:separator/>
      </w:r>
    </w:p>
  </w:footnote>
  <w:footnote w:type="continuationSeparator" w:id="0">
    <w:p w:rsidR="00414CA5" w:rsidRDefault="00414CA5">
      <w:r>
        <w:continuationSeparator/>
      </w:r>
    </w:p>
  </w:footnote>
  <w:footnote w:id="1">
    <w:p w:rsidR="004F6D79" w:rsidRPr="004F6D79" w:rsidRDefault="004F6D79">
      <w:pPr>
        <w:pStyle w:val="aa"/>
        <w:rPr>
          <w:sz w:val="22"/>
          <w:szCs w:val="22"/>
          <w:lang w:val="en-US"/>
        </w:rPr>
      </w:pPr>
      <w:r w:rsidRPr="004F6D79">
        <w:rPr>
          <w:rStyle w:val="ac"/>
          <w:sz w:val="22"/>
          <w:szCs w:val="22"/>
        </w:rPr>
        <w:t>*)</w:t>
      </w:r>
      <w:r w:rsidRPr="004F6D79">
        <w:rPr>
          <w:sz w:val="22"/>
          <w:szCs w:val="22"/>
        </w:rPr>
        <w:t xml:space="preserve">  </w:t>
      </w:r>
      <w:hyperlink r:id="rId1" w:history="1">
        <w:r w:rsidRPr="004F6D79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F9425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CA5"/>
    <w:rsid w:val="00037D6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14BD"/>
    <w:rsid w:val="002D3EBD"/>
    <w:rsid w:val="00352DB2"/>
    <w:rsid w:val="00370072"/>
    <w:rsid w:val="003800F3"/>
    <w:rsid w:val="003B5B93"/>
    <w:rsid w:val="003C1B47"/>
    <w:rsid w:val="00401388"/>
    <w:rsid w:val="00414CA5"/>
    <w:rsid w:val="00446025"/>
    <w:rsid w:val="00447ABC"/>
    <w:rsid w:val="004A77D1"/>
    <w:rsid w:val="004B72AA"/>
    <w:rsid w:val="004F4E29"/>
    <w:rsid w:val="004F6D7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A0214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516B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425F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D6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37D60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037D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7D60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4F6D7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F6D79"/>
  </w:style>
  <w:style w:type="character" w:styleId="ac">
    <w:name w:val="footnote reference"/>
    <w:basedOn w:val="a0"/>
    <w:rsid w:val="004F6D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vedev@laser.nsc.ru" TargetMode="Externa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mailto:spectrum@niic.nsc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melyanov@gmail.com" TargetMode="Externa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C-Medved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53DAB-B6CE-43F0-8BF7-597D11A1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9</TotalTime>
  <Pages>1</Pages>
  <Words>361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ВЛИЯНИЯ АЗОТА ПРИ СИНТЕЗЕ АЛМАЗОПОДОБНЫХ ПЛЁНОК С РАЗЛИЧНЫМИ СПОСОБАМИ АКТИВАЦИИ ГАЗА</dc:title>
  <dc:creator/>
  <cp:lastModifiedBy>Сатунин</cp:lastModifiedBy>
  <cp:revision>3</cp:revision>
  <cp:lastPrinted>1601-01-01T00:00:00Z</cp:lastPrinted>
  <dcterms:created xsi:type="dcterms:W3CDTF">2021-01-21T12:00:00Z</dcterms:created>
  <dcterms:modified xsi:type="dcterms:W3CDTF">2021-06-03T11:57:00Z</dcterms:modified>
</cp:coreProperties>
</file>