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385" w:rsidRPr="0041056F" w:rsidRDefault="00490385" w:rsidP="00490385">
      <w:pPr>
        <w:pStyle w:val="Zv-Titlereport"/>
        <w:rPr>
          <w:i/>
        </w:rPr>
      </w:pPr>
      <w:r w:rsidRPr="0041056F">
        <w:t xml:space="preserve">ПЕРВЫЙ ЭТАП РАЗВИТИЯ ГИРОТРОННОГО КОМПЛЕКСА И СИСТЕМЫ ВВОДА </w:t>
      </w:r>
      <w:r>
        <w:t>СВЧ</w:t>
      </w:r>
      <w:r w:rsidRPr="0041056F">
        <w:t>-ИЗЛУЧЕНИЯ</w:t>
      </w:r>
      <w:r>
        <w:t xml:space="preserve"> ДЛЯ ЭЦРН</w:t>
      </w:r>
      <w:r w:rsidRPr="0041056F">
        <w:t xml:space="preserve"> НА УСТАНОВКЕ ТОКАМАК Т-15МД</w:t>
      </w:r>
      <w:r w:rsidR="008D3D9E">
        <w:rPr>
          <w:rStyle w:val="ab"/>
        </w:rPr>
        <w:footnoteReference w:customMarkFollows="1" w:id="1"/>
        <w:t>*)</w:t>
      </w:r>
    </w:p>
    <w:p w:rsidR="00490385" w:rsidRPr="00B80E77" w:rsidRDefault="00490385" w:rsidP="00490385">
      <w:pPr>
        <w:pStyle w:val="Zv-Author"/>
      </w:pPr>
      <w:r w:rsidRPr="00490385">
        <w:rPr>
          <w:rStyle w:val="a8"/>
          <w:color w:val="auto"/>
          <w:sz w:val="26"/>
          <w:u w:val="none"/>
          <w:vertAlign w:val="superscript"/>
        </w:rPr>
        <w:t>1</w:t>
      </w:r>
      <w:r w:rsidRPr="00A50012">
        <w:rPr>
          <w:u w:val="single"/>
        </w:rPr>
        <w:t>Пименов</w:t>
      </w:r>
      <w:r w:rsidRPr="00490385">
        <w:rPr>
          <w:u w:val="single"/>
        </w:rPr>
        <w:t xml:space="preserve"> </w:t>
      </w:r>
      <w:r w:rsidRPr="00A50012">
        <w:rPr>
          <w:u w:val="single"/>
        </w:rPr>
        <w:t>И.С.</w:t>
      </w:r>
      <w:r>
        <w:t xml:space="preserve">, </w:t>
      </w:r>
      <w:r w:rsidRPr="00490385">
        <w:rPr>
          <w:rStyle w:val="a8"/>
          <w:color w:val="auto"/>
          <w:sz w:val="26"/>
          <w:u w:val="none"/>
          <w:vertAlign w:val="superscript"/>
        </w:rPr>
        <w:t>1</w:t>
      </w:r>
      <w:r>
        <w:t>Борщеговский</w:t>
      </w:r>
      <w:r w:rsidRPr="00490385">
        <w:t xml:space="preserve"> </w:t>
      </w:r>
      <w:r>
        <w:t xml:space="preserve">А.А., </w:t>
      </w:r>
      <w:r w:rsidRPr="00490385">
        <w:rPr>
          <w:rStyle w:val="a8"/>
          <w:color w:val="auto"/>
          <w:sz w:val="26"/>
          <w:u w:val="none"/>
          <w:vertAlign w:val="superscript"/>
        </w:rPr>
        <w:t>1</w:t>
      </w:r>
      <w:r>
        <w:t>Рой</w:t>
      </w:r>
      <w:r w:rsidRPr="00490385">
        <w:t xml:space="preserve"> </w:t>
      </w:r>
      <w:r>
        <w:t>И.Н,</w:t>
      </w:r>
      <w:r w:rsidRPr="00490385">
        <w:t xml:space="preserve"> </w:t>
      </w:r>
      <w:r w:rsidRPr="00490385">
        <w:rPr>
          <w:rStyle w:val="a8"/>
          <w:color w:val="auto"/>
          <w:sz w:val="26"/>
          <w:u w:val="none"/>
          <w:vertAlign w:val="superscript"/>
        </w:rPr>
        <w:t>1</w:t>
      </w:r>
      <w:r>
        <w:t>Неудачин С.В.</w:t>
      </w:r>
      <w:r w:rsidRPr="00B80E77">
        <w:t xml:space="preserve">, </w:t>
      </w:r>
      <w:r w:rsidRPr="00490385">
        <w:rPr>
          <w:rStyle w:val="a8"/>
          <w:color w:val="auto"/>
          <w:sz w:val="26"/>
          <w:u w:val="none"/>
          <w:vertAlign w:val="superscript"/>
        </w:rPr>
        <w:t>2</w:t>
      </w:r>
      <w:r>
        <w:t>Попов</w:t>
      </w:r>
      <w:r w:rsidRPr="00490385">
        <w:t xml:space="preserve"> </w:t>
      </w:r>
      <w:r>
        <w:t xml:space="preserve">Л.Г., </w:t>
      </w:r>
      <w:r w:rsidRPr="00490385">
        <w:rPr>
          <w:rStyle w:val="a8"/>
          <w:color w:val="auto"/>
          <w:sz w:val="26"/>
          <w:u w:val="none"/>
          <w:vertAlign w:val="superscript"/>
        </w:rPr>
        <w:t>2</w:t>
      </w:r>
      <w:r>
        <w:t>Агапова</w:t>
      </w:r>
      <w:r w:rsidRPr="00490385">
        <w:t xml:space="preserve"> </w:t>
      </w:r>
      <w:r>
        <w:t xml:space="preserve">М.В., </w:t>
      </w:r>
      <w:r w:rsidRPr="00490385">
        <w:rPr>
          <w:rStyle w:val="a8"/>
          <w:color w:val="auto"/>
          <w:sz w:val="26"/>
          <w:u w:val="none"/>
          <w:vertAlign w:val="superscript"/>
        </w:rPr>
        <w:t>2</w:t>
      </w:r>
      <w:r>
        <w:t>Бельнова</w:t>
      </w:r>
      <w:r>
        <w:rPr>
          <w:vertAlign w:val="superscript"/>
        </w:rPr>
        <w:t xml:space="preserve"> </w:t>
      </w:r>
      <w:r>
        <w:t>Л.М.</w:t>
      </w:r>
    </w:p>
    <w:p w:rsidR="00490385" w:rsidRPr="005B11C6" w:rsidRDefault="00490385" w:rsidP="00490385">
      <w:pPr>
        <w:pStyle w:val="Zv-Organization"/>
        <w:rPr>
          <w:rStyle w:val="a8"/>
          <w:i w:val="0"/>
        </w:rPr>
      </w:pPr>
      <w:r w:rsidRPr="003A26F9">
        <w:rPr>
          <w:rStyle w:val="a8"/>
          <w:color w:val="auto"/>
          <w:sz w:val="26"/>
          <w:u w:val="none"/>
          <w:vertAlign w:val="superscript"/>
        </w:rPr>
        <w:t>1</w:t>
      </w:r>
      <w:r w:rsidRPr="0041056F">
        <w:rPr>
          <w:color w:val="000000"/>
        </w:rPr>
        <w:t>НИЦ «Курчатовский Институт</w:t>
      </w:r>
      <w:r w:rsidRPr="0041056F">
        <w:t xml:space="preserve">», РФ, 123182 </w:t>
      </w:r>
      <w:r>
        <w:t>Москва</w:t>
      </w:r>
      <w:r w:rsidRPr="00371787">
        <w:t>,</w:t>
      </w:r>
      <w:r w:rsidRPr="0041056F">
        <w:t xml:space="preserve"> </w:t>
      </w:r>
      <w:r w:rsidRPr="0041056F">
        <w:rPr>
          <w:color w:val="000000"/>
        </w:rPr>
        <w:t>пл. Курчатова 1,</w:t>
      </w:r>
      <w:r w:rsidRPr="00490385">
        <w:rPr>
          <w:color w:val="000000"/>
        </w:rPr>
        <w:br/>
        <w:t xml:space="preserve">    </w:t>
      </w:r>
      <w:r w:rsidRPr="0041056F">
        <w:rPr>
          <w:color w:val="0070C0"/>
        </w:rPr>
        <w:t xml:space="preserve"> </w:t>
      </w:r>
      <w:hyperlink r:id="rId8" w:history="1">
        <w:r w:rsidRPr="00625803">
          <w:rPr>
            <w:rStyle w:val="a8"/>
            <w:sz w:val="26"/>
            <w:lang w:val="pt-BR"/>
          </w:rPr>
          <w:t>pimenowigor@mail.ru</w:t>
        </w:r>
      </w:hyperlink>
      <w:r w:rsidRPr="00490385">
        <w:br/>
      </w:r>
      <w:r w:rsidRPr="00490385">
        <w:rPr>
          <w:rStyle w:val="a8"/>
          <w:color w:val="auto"/>
          <w:sz w:val="26"/>
          <w:u w:val="none"/>
          <w:vertAlign w:val="superscript"/>
        </w:rPr>
        <w:t>2</w:t>
      </w:r>
      <w:r w:rsidRPr="005B11C6">
        <w:rPr>
          <w:shd w:val="clear" w:color="auto" w:fill="FFFFFF"/>
        </w:rPr>
        <w:t>ЗАО НПП «ГИКОМ», РФ, 603950 г. Нижний Новгород, ул. Ульянова, д. 46</w:t>
      </w:r>
    </w:p>
    <w:p w:rsidR="00490385" w:rsidRPr="00490385" w:rsidRDefault="00490385" w:rsidP="00490385">
      <w:pPr>
        <w:pStyle w:val="Zv-bodyreport"/>
      </w:pPr>
      <w:r w:rsidRPr="00490385">
        <w:t>В текущий период времени в НИЦ «КИ» идёт подготовительная стадия работ к физическому пуску установки токамак Т-15МД [1]. Одним из первых этапов этой подготовки является строительство гиротронного комплекса и изготовление системы ввода СВЧ-излучения, которая будет установлена в одном из экваториальных патрубков токамака.</w:t>
      </w:r>
    </w:p>
    <w:p w:rsidR="00490385" w:rsidRPr="00490385" w:rsidRDefault="00490385" w:rsidP="00490385">
      <w:pPr>
        <w:pStyle w:val="Zv-bodyreport"/>
      </w:pPr>
      <w:r w:rsidRPr="00490385">
        <w:t>Для Т-15МД в своё время компанией ГИКОМ был разработан и сконструирован гиротрон на рабочей частоте 82,6 ГГц (1,5 Тл) [2], основной задачей которого является пробой рабочего газа в токамаке на второй гармонике необыкновенной волны для развития плазменного разряда. Выходная мощность гиротрона составляет 1 МВт при максимальной длительности импульса 30 с. СВЧ излучение в форме гауссового пучка доставляется в виде моды HE11 по вакуумированному гофрированному волноводу длиной 35 м до фланца установки Т-15МД. С этой целью будет использована система ввода СВЧ-излучения, аналогичная системе, применявшейся на установке токамак Т-10 [3-5]. Данная конструкция позволяет отклонять пучок, как в тороидальном, так и в полоидальном направлениях в заданных пределах и получать сфокусированное излучение с радиусом в перетяжке ~ 11 мм на уровне мощности е-1 с плотностью мощности в центре ~ 0,20-0,25 МВт/см2. Электротехническая система Т-15МД позволяет поднять поле в процессе разряда (за несколько сотен мс с 1.3 до 1.5 Тл) [5]. В этом случае пробой происходит с внутренней стороны тора.</w:t>
      </w:r>
    </w:p>
    <w:p w:rsidR="00490385" w:rsidRPr="00490385" w:rsidRDefault="00490385" w:rsidP="00490385">
      <w:pPr>
        <w:pStyle w:val="Zv-bodyreport"/>
      </w:pPr>
      <w:r w:rsidRPr="00490385">
        <w:t>На следующем этапе работы Т-15МД с вытянутой плазмой и дивертором планируется использование восьми гиротронов, мощность излучения которых будет вводиться в вакуумную камеру токамака через два экваториальных патрубка. Для решения этой задачи в настоящее время проводится разработка комплексной системы СВЧ-ввода, рассчитанной под пучки от четырёх гиротронов. Чтобы избежать сильного рефракционного эффекта при работе с высокой плотностью плазмы, из-за относительно низкой частоты гиротрона, пучок должен быть сфокусирован. В настоящее время рассматривается несколько модификаций системы ввода СВЧ-излучения. Некоторые из них представлены в настоящем докладе.</w:t>
      </w:r>
    </w:p>
    <w:p w:rsidR="00490385" w:rsidRPr="00423FD7" w:rsidRDefault="00490385" w:rsidP="00490385">
      <w:pPr>
        <w:pStyle w:val="Zv-bodyreport"/>
        <w:spacing w:before="120"/>
      </w:pPr>
      <w:r w:rsidRPr="00490385">
        <w:t>Работа</w:t>
      </w:r>
      <w:r>
        <w:t xml:space="preserve"> выполнена при поддержке госкорпорации РОСАТОМ</w:t>
      </w:r>
    </w:p>
    <w:p w:rsidR="00490385" w:rsidRDefault="00490385" w:rsidP="00490385">
      <w:pPr>
        <w:pStyle w:val="Zv-TitleReferences-ru"/>
      </w:pPr>
      <w:r w:rsidRPr="005866F5">
        <w:t>Литература</w:t>
      </w:r>
    </w:p>
    <w:p w:rsidR="00490385" w:rsidRDefault="00490385" w:rsidP="00490385">
      <w:pPr>
        <w:pStyle w:val="Zv-References-ru"/>
      </w:pPr>
      <w:r w:rsidRPr="005378C6">
        <w:t>Хвостенко П.П., Анашкин И.О., и др.</w:t>
      </w:r>
      <w:r>
        <w:rPr>
          <w:b/>
        </w:rPr>
        <w:t>–</w:t>
      </w:r>
      <w:r w:rsidRPr="00CD22F0">
        <w:rPr>
          <w:b/>
        </w:rPr>
        <w:t xml:space="preserve"> </w:t>
      </w:r>
      <w:r w:rsidRPr="00CD22F0">
        <w:t>ВАНТ. Сер. Терм</w:t>
      </w:r>
      <w:r>
        <w:t xml:space="preserve">. </w:t>
      </w:r>
      <w:r w:rsidRPr="00CD22F0">
        <w:t>синтез, 2019, т. 42, вып. 1, с. 15.</w:t>
      </w:r>
    </w:p>
    <w:p w:rsidR="00490385" w:rsidRPr="00CD22F0" w:rsidRDefault="00490385" w:rsidP="00490385">
      <w:pPr>
        <w:pStyle w:val="Zv-References-ru"/>
      </w:pPr>
      <w:r w:rsidRPr="005378C6">
        <w:t>Кирнева Н.А., Кислов Д.А., Рой И.Н.</w:t>
      </w:r>
      <w:r>
        <w:rPr>
          <w:b/>
        </w:rPr>
        <w:t>–</w:t>
      </w:r>
      <w:r w:rsidRPr="00CD22F0">
        <w:rPr>
          <w:b/>
        </w:rPr>
        <w:t xml:space="preserve"> </w:t>
      </w:r>
      <w:r>
        <w:t xml:space="preserve">ВАНТ. Сер. Терм. синтез, </w:t>
      </w:r>
      <w:r w:rsidRPr="00CD22F0">
        <w:t>2020, т. 43, вып. 1, с.</w:t>
      </w:r>
      <w:r>
        <w:t xml:space="preserve"> 64.</w:t>
      </w:r>
      <w:r w:rsidRPr="00CD22F0">
        <w:t xml:space="preserve"> </w:t>
      </w:r>
    </w:p>
    <w:p w:rsidR="00490385" w:rsidRPr="005378C6" w:rsidRDefault="00490385" w:rsidP="00490385">
      <w:pPr>
        <w:pStyle w:val="Zv-References-ru"/>
        <w:rPr>
          <w:lang w:val="en-US"/>
        </w:rPr>
      </w:pPr>
      <w:r>
        <w:rPr>
          <w:lang w:val="en-US"/>
        </w:rPr>
        <w:t>N</w:t>
      </w:r>
      <w:r w:rsidRPr="003A26F9">
        <w:rPr>
          <w:lang w:val="en-US"/>
        </w:rPr>
        <w:t>.</w:t>
      </w:r>
      <w:r>
        <w:rPr>
          <w:lang w:val="en-US"/>
        </w:rPr>
        <w:t>A</w:t>
      </w:r>
      <w:r w:rsidRPr="003A26F9">
        <w:rPr>
          <w:lang w:val="en-US"/>
        </w:rPr>
        <w:t xml:space="preserve">. </w:t>
      </w:r>
      <w:r>
        <w:rPr>
          <w:lang w:val="en-US"/>
        </w:rPr>
        <w:t>Kirneva</w:t>
      </w:r>
      <w:r w:rsidRPr="003A26F9">
        <w:rPr>
          <w:lang w:val="en-US"/>
        </w:rPr>
        <w:t xml:space="preserve"> </w:t>
      </w:r>
      <w:r>
        <w:rPr>
          <w:lang w:val="en-US"/>
        </w:rPr>
        <w:t>et</w:t>
      </w:r>
      <w:r w:rsidRPr="003A26F9">
        <w:rPr>
          <w:lang w:val="en-US"/>
        </w:rPr>
        <w:t xml:space="preserve"> </w:t>
      </w:r>
      <w:r>
        <w:rPr>
          <w:lang w:val="en-US"/>
        </w:rPr>
        <w:t>al</w:t>
      </w:r>
      <w:r w:rsidRPr="003A26F9">
        <w:rPr>
          <w:lang w:val="en-US"/>
        </w:rPr>
        <w:t>, 34</w:t>
      </w:r>
      <w:r w:rsidRPr="005378C6">
        <w:rPr>
          <w:vertAlign w:val="superscript"/>
          <w:lang w:val="en-US"/>
        </w:rPr>
        <w:t>th</w:t>
      </w:r>
      <w:r w:rsidRPr="003A26F9">
        <w:rPr>
          <w:lang w:val="en-US"/>
        </w:rPr>
        <w:t xml:space="preserve"> </w:t>
      </w:r>
      <w:r>
        <w:rPr>
          <w:lang w:val="en-US"/>
        </w:rPr>
        <w:t>EPS</w:t>
      </w:r>
      <w:r w:rsidRPr="003A26F9">
        <w:rPr>
          <w:lang w:val="en-US"/>
        </w:rPr>
        <w:t xml:space="preserve"> </w:t>
      </w:r>
      <w:r>
        <w:rPr>
          <w:lang w:val="en-US"/>
        </w:rPr>
        <w:t>Conference</w:t>
      </w:r>
      <w:r w:rsidRPr="003A26F9">
        <w:rPr>
          <w:lang w:val="en-US"/>
        </w:rPr>
        <w:t xml:space="preserve"> </w:t>
      </w:r>
      <w:r>
        <w:rPr>
          <w:lang w:val="en-US"/>
        </w:rPr>
        <w:t>on</w:t>
      </w:r>
      <w:r w:rsidRPr="003A26F9">
        <w:rPr>
          <w:lang w:val="en-US"/>
        </w:rPr>
        <w:t xml:space="preserve"> </w:t>
      </w:r>
      <w:r>
        <w:rPr>
          <w:lang w:val="en-US"/>
        </w:rPr>
        <w:t>Plasma</w:t>
      </w:r>
      <w:r w:rsidRPr="003A26F9">
        <w:rPr>
          <w:lang w:val="en-US"/>
        </w:rPr>
        <w:t xml:space="preserve"> </w:t>
      </w:r>
      <w:r>
        <w:rPr>
          <w:lang w:val="en-US"/>
        </w:rPr>
        <w:t>Phys</w:t>
      </w:r>
      <w:r w:rsidRPr="003A26F9">
        <w:rPr>
          <w:lang w:val="en-US"/>
        </w:rPr>
        <w:t xml:space="preserve">. </w:t>
      </w:r>
      <w:r>
        <w:rPr>
          <w:lang w:val="en-US"/>
        </w:rPr>
        <w:t>Warsaw</w:t>
      </w:r>
      <w:r w:rsidRPr="003A26F9">
        <w:rPr>
          <w:lang w:val="en-US"/>
        </w:rPr>
        <w:t xml:space="preserve">, 2-6 </w:t>
      </w:r>
      <w:r>
        <w:rPr>
          <w:lang w:val="en-US"/>
        </w:rPr>
        <w:t>July</w:t>
      </w:r>
      <w:r w:rsidRPr="003A26F9">
        <w:rPr>
          <w:lang w:val="en-US"/>
        </w:rPr>
        <w:t xml:space="preserve"> 2007 </w:t>
      </w:r>
      <w:r>
        <w:rPr>
          <w:lang w:val="en-US"/>
        </w:rPr>
        <w:t>ECA Vol.31F, P-1.164 (2007)</w:t>
      </w:r>
    </w:p>
    <w:p w:rsidR="00490385" w:rsidRPr="005378C6" w:rsidRDefault="00490385" w:rsidP="00490385">
      <w:pPr>
        <w:pStyle w:val="Zv-References-ru"/>
        <w:rPr>
          <w:lang w:val="en-US"/>
        </w:rPr>
      </w:pPr>
      <w:r>
        <w:rPr>
          <w:lang w:val="en-US"/>
        </w:rPr>
        <w:t>A.A. Borshegovskiy et al,</w:t>
      </w:r>
      <w:r w:rsidRPr="00371787">
        <w:rPr>
          <w:lang w:val="en-US"/>
        </w:rPr>
        <w:t xml:space="preserve"> </w:t>
      </w:r>
      <w:r>
        <w:rPr>
          <w:lang w:val="en-US"/>
        </w:rPr>
        <w:t>EPJ Web of Conferences 32, 02004 (2012)</w:t>
      </w:r>
    </w:p>
    <w:p w:rsidR="00490385" w:rsidRDefault="00490385" w:rsidP="00490385">
      <w:pPr>
        <w:pStyle w:val="Zv-References-ru"/>
      </w:pPr>
      <w:r>
        <w:t>Пименов</w:t>
      </w:r>
      <w:r w:rsidRPr="003A26F9">
        <w:t xml:space="preserve"> </w:t>
      </w:r>
      <w:r>
        <w:t>И</w:t>
      </w:r>
      <w:r w:rsidRPr="003A26F9">
        <w:t>.</w:t>
      </w:r>
      <w:r>
        <w:t>С</w:t>
      </w:r>
      <w:r w:rsidRPr="003A26F9">
        <w:t xml:space="preserve">., </w:t>
      </w:r>
      <w:r>
        <w:t>Белоусов</w:t>
      </w:r>
      <w:r w:rsidRPr="003A26F9">
        <w:t xml:space="preserve"> </w:t>
      </w:r>
      <w:r>
        <w:t>В</w:t>
      </w:r>
      <w:r w:rsidRPr="003A26F9">
        <w:t>.</w:t>
      </w:r>
      <w:r>
        <w:t>И</w:t>
      </w:r>
      <w:r w:rsidRPr="003A26F9">
        <w:t xml:space="preserve">. </w:t>
      </w:r>
      <w:r>
        <w:t>и</w:t>
      </w:r>
      <w:r w:rsidRPr="003A26F9">
        <w:t xml:space="preserve"> </w:t>
      </w:r>
      <w:r>
        <w:t>др</w:t>
      </w:r>
      <w:r w:rsidRPr="003A26F9">
        <w:t xml:space="preserve">. – </w:t>
      </w:r>
      <w:r>
        <w:t>Сборник</w:t>
      </w:r>
      <w:r w:rsidRPr="003A26F9">
        <w:t xml:space="preserve"> </w:t>
      </w:r>
      <w:r>
        <w:t>тезисов</w:t>
      </w:r>
      <w:r w:rsidRPr="003A26F9">
        <w:t xml:space="preserve"> </w:t>
      </w:r>
      <w:r>
        <w:t>докладов</w:t>
      </w:r>
      <w:r w:rsidRPr="003A26F9">
        <w:t xml:space="preserve"> </w:t>
      </w:r>
      <w:r>
        <w:rPr>
          <w:lang w:val="en-US"/>
        </w:rPr>
        <w:t>XLVII</w:t>
      </w:r>
      <w:r w:rsidRPr="003A26F9">
        <w:t xml:space="preserve"> </w:t>
      </w:r>
      <w:r>
        <w:t>Международной</w:t>
      </w:r>
      <w:r w:rsidRPr="003A26F9">
        <w:t xml:space="preserve"> </w:t>
      </w:r>
      <w:r>
        <w:t>Звенигородской</w:t>
      </w:r>
      <w:r w:rsidRPr="003A26F9">
        <w:t xml:space="preserve"> </w:t>
      </w:r>
      <w:r>
        <w:t>конференции</w:t>
      </w:r>
      <w:r w:rsidRPr="003A26F9">
        <w:t xml:space="preserve"> </w:t>
      </w:r>
      <w:r>
        <w:t>по</w:t>
      </w:r>
      <w:r w:rsidRPr="003A26F9">
        <w:t xml:space="preserve"> </w:t>
      </w:r>
      <w:r>
        <w:t>физике</w:t>
      </w:r>
      <w:r w:rsidRPr="003A26F9">
        <w:t xml:space="preserve"> </w:t>
      </w:r>
      <w:r>
        <w:t>плазмы и УТС, 16-20 марта 2020г., стр. 88.</w:t>
      </w:r>
    </w:p>
    <w:p w:rsidR="00654A7B" w:rsidRPr="00490385" w:rsidRDefault="00654A7B"/>
    <w:sectPr w:rsidR="00654A7B" w:rsidRPr="00490385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445" w:rsidRDefault="00321445">
      <w:r>
        <w:separator/>
      </w:r>
    </w:p>
  </w:endnote>
  <w:endnote w:type="continuationSeparator" w:id="0">
    <w:p w:rsidR="00321445" w:rsidRDefault="00321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E5D6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E5D6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D2674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445" w:rsidRDefault="00321445">
      <w:r>
        <w:separator/>
      </w:r>
    </w:p>
  </w:footnote>
  <w:footnote w:type="continuationSeparator" w:id="0">
    <w:p w:rsidR="00321445" w:rsidRDefault="00321445">
      <w:r>
        <w:continuationSeparator/>
      </w:r>
    </w:p>
  </w:footnote>
  <w:footnote w:id="1">
    <w:p w:rsidR="008D3D9E" w:rsidRPr="008D3D9E" w:rsidRDefault="008D3D9E">
      <w:pPr>
        <w:pStyle w:val="a9"/>
        <w:rPr>
          <w:sz w:val="22"/>
          <w:szCs w:val="22"/>
          <w:lang w:val="en-US"/>
        </w:rPr>
      </w:pPr>
      <w:r w:rsidRPr="008D3D9E">
        <w:rPr>
          <w:rStyle w:val="ab"/>
          <w:sz w:val="22"/>
          <w:szCs w:val="22"/>
        </w:rPr>
        <w:t>*)</w:t>
      </w:r>
      <w:r w:rsidRPr="008D3D9E">
        <w:rPr>
          <w:sz w:val="22"/>
          <w:szCs w:val="22"/>
        </w:rPr>
        <w:t xml:space="preserve">  </w:t>
      </w:r>
      <w:hyperlink r:id="rId1" w:history="1">
        <w:r w:rsidRPr="008D3D9E">
          <w:rPr>
            <w:rStyle w:val="a8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9E5D6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72418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21445"/>
    <w:rsid w:val="00352DB2"/>
    <w:rsid w:val="00370072"/>
    <w:rsid w:val="003800F3"/>
    <w:rsid w:val="003B5B93"/>
    <w:rsid w:val="003C1B47"/>
    <w:rsid w:val="00401388"/>
    <w:rsid w:val="00446025"/>
    <w:rsid w:val="00447ABC"/>
    <w:rsid w:val="00490385"/>
    <w:rsid w:val="004A77D1"/>
    <w:rsid w:val="004B72AA"/>
    <w:rsid w:val="004F4E29"/>
    <w:rsid w:val="00567C6F"/>
    <w:rsid w:val="00572013"/>
    <w:rsid w:val="0058676C"/>
    <w:rsid w:val="005C51CF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D3D9E"/>
    <w:rsid w:val="008E2894"/>
    <w:rsid w:val="0094721E"/>
    <w:rsid w:val="009E5D68"/>
    <w:rsid w:val="00A66876"/>
    <w:rsid w:val="00A71613"/>
    <w:rsid w:val="00AB3459"/>
    <w:rsid w:val="00AD2674"/>
    <w:rsid w:val="00AD7670"/>
    <w:rsid w:val="00B622ED"/>
    <w:rsid w:val="00B9584E"/>
    <w:rsid w:val="00BD05EF"/>
    <w:rsid w:val="00C103CD"/>
    <w:rsid w:val="00C232A0"/>
    <w:rsid w:val="00C72418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EB5B6E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link w:val="a7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7">
    <w:name w:val="Основной текст Знак"/>
    <w:basedOn w:val="a0"/>
    <w:link w:val="a6"/>
    <w:rsid w:val="00490385"/>
    <w:rPr>
      <w:sz w:val="24"/>
      <w:szCs w:val="24"/>
    </w:rPr>
  </w:style>
  <w:style w:type="character" w:styleId="a8">
    <w:name w:val="Hyperlink"/>
    <w:basedOn w:val="a0"/>
    <w:rsid w:val="00490385"/>
    <w:rPr>
      <w:color w:val="0000FF" w:themeColor="hyperlink"/>
      <w:u w:val="single"/>
    </w:rPr>
  </w:style>
  <w:style w:type="paragraph" w:styleId="a9">
    <w:name w:val="footnote text"/>
    <w:basedOn w:val="a"/>
    <w:link w:val="aa"/>
    <w:rsid w:val="008D3D9E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8D3D9E"/>
  </w:style>
  <w:style w:type="character" w:styleId="ab">
    <w:name w:val="footnote reference"/>
    <w:basedOn w:val="a0"/>
    <w:rsid w:val="008D3D9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menowigor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Mu/en/BH-Pimen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31564C-5910-4154-AFB5-AB7405CBE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14</TotalTime>
  <Pages>1</Pages>
  <Words>427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ПЕРВЫЙ ЭТАП РАЗВИТИЯ ГИРОТРОННОГО КОМПЛЕКСА И СИСТЕМЫ ВВОДА СВЧ-ИЗЛУЧЕНИЯ ДЛЯ ЭЦРН НА УСТАНОВКЕ ТОКАМАК Т-15МД</dc:title>
  <dc:creator/>
  <cp:lastModifiedBy>Сатунин</cp:lastModifiedBy>
  <cp:revision>4</cp:revision>
  <cp:lastPrinted>1601-01-01T00:00:00Z</cp:lastPrinted>
  <dcterms:created xsi:type="dcterms:W3CDTF">2021-02-11T19:37:00Z</dcterms:created>
  <dcterms:modified xsi:type="dcterms:W3CDTF">2021-05-20T10:31:00Z</dcterms:modified>
</cp:coreProperties>
</file>