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7AA" w:rsidRPr="00726C14" w:rsidRDefault="00B907AA" w:rsidP="00726C14">
      <w:pPr>
        <w:pStyle w:val="Zv-Titlereport"/>
        <w:spacing w:line="228" w:lineRule="auto"/>
      </w:pPr>
      <w:r w:rsidRPr="00B907AA">
        <w:t xml:space="preserve">Анализ </w:t>
      </w:r>
      <w:r w:rsidRPr="00B907AA">
        <w:rPr>
          <w:shd w:val="clear" w:color="auto" w:fill="FFFFFF"/>
        </w:rPr>
        <w:t>уровня</w:t>
      </w:r>
      <w:r w:rsidRPr="00B907AA">
        <w:t xml:space="preserve"> готовности </w:t>
      </w:r>
      <w:r w:rsidRPr="00B907AA">
        <w:rPr>
          <w:shd w:val="clear" w:color="auto" w:fill="FFFFFF"/>
        </w:rPr>
        <w:t>технологий</w:t>
      </w:r>
      <w:r w:rsidRPr="00B907AA">
        <w:t xml:space="preserve"> тритиевого цикла в России для гибридного реактора ДЕМО-ТИН</w:t>
      </w:r>
      <w:r w:rsidR="00726C14" w:rsidRPr="00726C14">
        <w:t xml:space="preserve"> </w:t>
      </w:r>
      <w:r w:rsidR="00726C14">
        <w:rPr>
          <w:rStyle w:val="a9"/>
        </w:rPr>
        <w:footnoteReference w:customMarkFollows="1" w:id="1"/>
        <w:t>*)</w:t>
      </w:r>
    </w:p>
    <w:p w:rsidR="00B907AA" w:rsidRDefault="00B907AA" w:rsidP="00726C14">
      <w:pPr>
        <w:pStyle w:val="Zv-Author"/>
        <w:spacing w:line="228" w:lineRule="auto"/>
        <w:rPr>
          <w:szCs w:val="24"/>
        </w:rPr>
      </w:pPr>
      <w:r w:rsidRPr="00E52039">
        <w:rPr>
          <w:u w:val="single"/>
          <w:shd w:val="clear" w:color="auto" w:fill="FFFFFF"/>
        </w:rPr>
        <w:t>Иванов Б.В.</w:t>
      </w:r>
      <w:r w:rsidRPr="00B907AA">
        <w:t>, Ананьев С.С.</w:t>
      </w:r>
    </w:p>
    <w:p w:rsidR="00B907AA" w:rsidRPr="00D21937" w:rsidRDefault="00B907AA" w:rsidP="00726C14">
      <w:pPr>
        <w:pStyle w:val="Zv-Organization"/>
        <w:spacing w:after="180" w:line="228" w:lineRule="auto"/>
      </w:pPr>
      <w:r w:rsidRPr="00D21937">
        <w:t>НИЦ "Курчатовский институт"</w:t>
      </w:r>
      <w:r>
        <w:t>, г. Москва, РФ,</w:t>
      </w:r>
      <w:r w:rsidRPr="00E033D7">
        <w:t xml:space="preserve"> </w:t>
      </w:r>
      <w:r>
        <w:rPr>
          <w:lang w:val="en-US"/>
        </w:rPr>
        <w:t>kapjicohh</w:t>
      </w:r>
      <w:r w:rsidRPr="00D21937">
        <w:t>@</w:t>
      </w:r>
      <w:r>
        <w:rPr>
          <w:lang w:val="en-US"/>
        </w:rPr>
        <w:t>gmail</w:t>
      </w:r>
      <w:r w:rsidRPr="00D21937">
        <w:t>.</w:t>
      </w:r>
      <w:r>
        <w:rPr>
          <w:lang w:val="en-US"/>
        </w:rPr>
        <w:t>com</w:t>
      </w:r>
    </w:p>
    <w:p w:rsidR="00B907AA" w:rsidRPr="00F6660B" w:rsidRDefault="00B907AA" w:rsidP="00726C14">
      <w:pPr>
        <w:pStyle w:val="Zv-bodyreport"/>
        <w:spacing w:line="228" w:lineRule="auto"/>
      </w:pPr>
      <w:r w:rsidRPr="00891DCF">
        <w:t>Одной из основных систем</w:t>
      </w:r>
      <w:r>
        <w:t>, обеспечивающих работу</w:t>
      </w:r>
      <w:r w:rsidRPr="00891DCF">
        <w:t xml:space="preserve"> </w:t>
      </w:r>
      <w:r>
        <w:t xml:space="preserve">термоядерного или </w:t>
      </w:r>
      <w:r w:rsidRPr="00891DCF">
        <w:t>гибридного реактора является тритиево-дейтериевый топливный цикл</w:t>
      </w:r>
      <w:r>
        <w:t xml:space="preserve"> (ТЦ)</w:t>
      </w:r>
      <w:r w:rsidRPr="00891DCF">
        <w:t xml:space="preserve">. </w:t>
      </w:r>
      <w:r>
        <w:t xml:space="preserve">В рамках программы развития термоядерных и гибридных технологий в РФ разрабатывается проект </w:t>
      </w:r>
      <w:r w:rsidRPr="00891DCF">
        <w:t>ДЕМО-ТИН</w:t>
      </w:r>
      <w:r w:rsidRPr="00F6660B">
        <w:t>,</w:t>
      </w:r>
      <w:r w:rsidRPr="00891DCF">
        <w:t xml:space="preserve"> направленный на </w:t>
      </w:r>
      <w:r>
        <w:t xml:space="preserve">отработку </w:t>
      </w:r>
      <w:r w:rsidRPr="00891DCF">
        <w:t>гибридных технологий</w:t>
      </w:r>
      <w:r>
        <w:t xml:space="preserve"> и их интеграцию</w:t>
      </w:r>
      <w:r w:rsidRPr="00891DCF">
        <w:t xml:space="preserve"> </w:t>
      </w:r>
      <w:r w:rsidR="00A258E8" w:rsidRPr="00891DCF">
        <w:fldChar w:fldCharType="begin" w:fldLock="1"/>
      </w:r>
      <w:r>
        <w:instrText xml:space="preserve">ADDIN CSL_CITATION {"citationItems":[{"id":"ITEM-1","itemData":{"DOI":"10.1088/0029-5515/55/7/073035","ISSN":"0029-5515","abstract":"The history of fusion-fission hybrid systems based on a tokamak device as an extremely efficient DT-fusion neutron source has passed through several periods of ample research activity in the world since the very beginning of fusion research in the 1950s. Recently, a new roadmap of the hybrid program has been proposed with the goal to build a pilot hybrid plant (PHP) in Russia by 2030. Development of the DEMO-FNS tokamak for fusion and hybrid technologies, which is planned to be built by 2023, is the key milestone on the path to the PHP. This facility is in the phase of conceptual design aimed at providing feasibility studies for a full set of steady state tokamak technologies at a fusion energy gain factor Q </w:instrText>
      </w:r>
      <w:r>
        <w:rPr>
          <w:rFonts w:ascii="Cambria Math" w:hAnsi="Cambria Math" w:cs="Cambria Math"/>
        </w:rPr>
        <w:instrText>∼</w:instrText>
      </w:r>
      <w:r>
        <w:instrText xml:space="preserve"> 1, fusion power of </w:instrText>
      </w:r>
      <w:r>
        <w:rPr>
          <w:rFonts w:ascii="Cambria Math" w:hAnsi="Cambria Math" w:cs="Cambria Math"/>
        </w:rPr>
        <w:instrText>∼</w:instrText>
      </w:r>
      <w:r>
        <w:instrText xml:space="preserve"> 40 MW and opportunities for testing a wide range of hybrid technologies with the emphasis on continuous nuclide processing in molten salts. This paper describes the project motivations, its current status and the key issues of the design.","author":[{"dropping-particle":"","family":"Kuteev","given":"B.V.","non-dropping-particle":"","parse-names":false,"suffix":""},{"dropping-particle":"","family":"Azizov","given":"E.A.","non-dropping-particle":"","parse-names":false,"suffix":""},{"dropping-particle":"","family":"Alexeev","given":"P.N.","non-dropping-particle":"","parse-names":false,"suffix":""},{"dropping-particle":"","family":"Ignatiev","given":"V.V.","non-dropping-particle":"","parse-names":false,"suffix":""},{"dropping-particle":"","family":"Subbotin","given":"S.A.","non-dropping-particle":"","parse-names":false,"suffix":""},{"dropping-particle":"","family":"Tsibulskiy","given":"V.F.","non-dropping-particle":"","parse-names":false,"suffix":""}],"container-title":"Nuclear Fusion","id":"ITEM-1","issue":"7","issued":{"date-parts":[["2015","7","1"]]},"page":"073035","publisher":"IOP Publishing","title":"Development of DEMO-FNS tokamak for fusion and hybrid technologies","type":"article-journal","volume":"55"},"uris":["http://www.mendeley.com/documents/?uuid=1745ded5-8c54-4e54-bb13-cc4b8fefab3b"]}],"mendeley":{"formattedCitation":"[1]","plainTextFormattedCitation":"[1]","previouslyFormattedCitation":"[1]"},"properties":{"noteIndex":0},"schema":"https://github.com/citation-style-language/schema/raw/master/csl-citation.json"}</w:instrText>
      </w:r>
      <w:r w:rsidR="00A258E8" w:rsidRPr="00891DCF">
        <w:fldChar w:fldCharType="separate"/>
      </w:r>
      <w:r w:rsidRPr="00891DCF">
        <w:rPr>
          <w:noProof/>
        </w:rPr>
        <w:t>[1]</w:t>
      </w:r>
      <w:r w:rsidR="00A258E8" w:rsidRPr="00891DCF">
        <w:fldChar w:fldCharType="end"/>
      </w:r>
      <w:r w:rsidRPr="00891DCF">
        <w:t>. Особенност</w:t>
      </w:r>
      <w:r>
        <w:t>ями</w:t>
      </w:r>
      <w:r w:rsidRPr="00891DCF">
        <w:t xml:space="preserve"> </w:t>
      </w:r>
      <w:r w:rsidRPr="00885BCF">
        <w:t>реактора</w:t>
      </w:r>
      <w:r>
        <w:t xml:space="preserve"> на базе токамака являются</w:t>
      </w:r>
      <w:r w:rsidRPr="00891DCF">
        <w:t xml:space="preserve"> стационарный режим </w:t>
      </w:r>
      <w:r>
        <w:t xml:space="preserve">работы, </w:t>
      </w:r>
      <w:r w:rsidRPr="00891DCF">
        <w:rPr>
          <w:lang w:val="en-US"/>
        </w:rPr>
        <w:t>Q</w:t>
      </w:r>
      <w:r w:rsidRPr="00891DCF">
        <w:t xml:space="preserve"> </w:t>
      </w:r>
      <w:r w:rsidRPr="00891DCF">
        <w:sym w:font="Symbol" w:char="F07E"/>
      </w:r>
      <w:r w:rsidRPr="00891DCF">
        <w:t xml:space="preserve"> 1</w:t>
      </w:r>
      <w:r>
        <w:t xml:space="preserve"> и</w:t>
      </w:r>
      <w:r w:rsidRPr="00891DCF">
        <w:t xml:space="preserve"> бланкет с </w:t>
      </w:r>
      <w:r>
        <w:t xml:space="preserve">делящимися веществами – именно эти факторы </w:t>
      </w:r>
      <w:r w:rsidRPr="00891DCF">
        <w:t xml:space="preserve">в значительной степени определяют конфигурацию и основные технологии </w:t>
      </w:r>
      <w:r>
        <w:t>ТЦ</w:t>
      </w:r>
      <w:r w:rsidRPr="00891DCF">
        <w:t xml:space="preserve"> </w:t>
      </w:r>
      <w:r w:rsidR="00A258E8" w:rsidRPr="00891DCF">
        <w:fldChar w:fldCharType="begin" w:fldLock="1"/>
      </w:r>
      <w:r>
        <w:instrText>ADDIN CSL_CITATION {"citationItems":[{"id":"ITEM-1","itemData":{"DOI":"10.1016/j.fusengdes.2020.111940","ISSN":"09203796","abstract":"Within the framework of activities on creation of a pilot industrial hybrid reactor (Pilot Hybrid Plant – PHP), the DEMO-FNS fusion neutron source is being designed in Russia. Progress in development of the plant and simulation of the fusion fuel cycle allowed us to move from conceptual design to engineering of a number of systems. In this regard, we have analyzed technological solutions that can be used for key FC systems and their integration. We have reviewed and compared various technologies that can be used in the DEMO-FNS fuel cycle. The main parameters of the DEMO-FNS fuel cycle and most of its individual systems were calculated in the FC-FNS code and compared with the other fusion facilities fuel cycles such as JET, TFTR, ITER, CFETR. The result of this work is the fuel cycle architecture that is best suited to the specific operating conditions of the DEMO-FNS. Although some FC systems are needed to be further optimized, it is considered that these results can be used to design and manufacture fuel cycle systems","author":[{"dropping-particle":"","family":"Ananyev","given":"Sergey S.","non-dropping-particle":"","parse-names":false,"suffix":""},{"dropping-particle":"V.","family":"Ivanov","given":"Boris","non-dropping-particle":"","parse-names":false,"suffix":""},{"dropping-particle":"V.","family":"Kuteev","given":"Boris","non-dropping-particle":"","parse-names":false,"suffix":""}],"container-title":"Fusion Engineering and Design","id":"ITEM-1","issue":"December 2019","issued":{"date-parts":[["2020"]]},"page":"111940","publisher":"Elsevier","title":"Analysis of promising technologies of DEMO-FNS fuel cycle","type":"article-journal","volume":"161"},"uris":["http://www.mendeley.com/documents/?uuid=8e329fc9-d3c9-40ab-8981-8fb69943402a"]}],"mendeley":{"formattedCitation":"[2]","plainTextFormattedCitation":"[2]","previouslyFormattedCitation":"[2]"},"properties":{"noteIndex":0},"schema":"https://github.com/citation-style-language/schema/raw/master/csl-citation.json"}</w:instrText>
      </w:r>
      <w:r w:rsidR="00A258E8" w:rsidRPr="00891DCF">
        <w:fldChar w:fldCharType="separate"/>
      </w:r>
      <w:r w:rsidRPr="00891DCF">
        <w:rPr>
          <w:noProof/>
        </w:rPr>
        <w:t>[2]</w:t>
      </w:r>
      <w:r w:rsidR="00A258E8" w:rsidRPr="00891DCF">
        <w:fldChar w:fldCharType="end"/>
      </w:r>
      <w:r w:rsidRPr="00891DCF">
        <w:t>.</w:t>
      </w:r>
    </w:p>
    <w:p w:rsidR="00B907AA" w:rsidRPr="00F6660B" w:rsidRDefault="00B907AA" w:rsidP="00726C14">
      <w:pPr>
        <w:pStyle w:val="Zv-bodyreportcont"/>
        <w:spacing w:line="228" w:lineRule="auto"/>
        <w:ind w:firstLine="284"/>
      </w:pPr>
      <w:r w:rsidRPr="00891DCF">
        <w:t xml:space="preserve">В данной работе </w:t>
      </w:r>
      <w:r w:rsidRPr="00D1143D">
        <w:t>проведено сравнение</w:t>
      </w:r>
      <w:r w:rsidRPr="003D0784">
        <w:t xml:space="preserve"> </w:t>
      </w:r>
      <w:r>
        <w:t>степени готовности</w:t>
      </w:r>
      <w:r w:rsidRPr="00D1143D">
        <w:t xml:space="preserve"> </w:t>
      </w:r>
      <w:r>
        <w:t xml:space="preserve">выбранных ранее кандидатных </w:t>
      </w:r>
      <w:r w:rsidRPr="00891DCF">
        <w:t xml:space="preserve">технологий тритий-дейтериевого </w:t>
      </w:r>
      <w:r>
        <w:t>ТЦ</w:t>
      </w:r>
      <w:r w:rsidRPr="00891DCF">
        <w:t xml:space="preserve"> </w:t>
      </w:r>
      <w:r w:rsidRPr="00D1143D">
        <w:t xml:space="preserve">[2] </w:t>
      </w:r>
      <w:r w:rsidRPr="00891DCF">
        <w:t xml:space="preserve">в </w:t>
      </w:r>
      <w:r>
        <w:t>РФ и в мире.</w:t>
      </w:r>
      <w:r w:rsidRPr="00891DCF">
        <w:t xml:space="preserve"> </w:t>
      </w:r>
      <w:r>
        <w:t>Проект ДЕМО-ТИН предусматривает использование отработанных</w:t>
      </w:r>
      <w:r w:rsidRPr="00D1143D">
        <w:t xml:space="preserve"> </w:t>
      </w:r>
      <w:r>
        <w:t xml:space="preserve">решений </w:t>
      </w:r>
      <w:r w:rsidR="00A258E8" w:rsidRPr="003F3991">
        <w:fldChar w:fldCharType="begin" w:fldLock="1"/>
      </w:r>
      <w:r w:rsidRPr="003F3991">
        <w:instrText xml:space="preserve">ADDIN CSL_CITATION {"citationItems":[{"id":"ITEM-1","itemData":{"DOI":"10.1088/0029-5515/55/7/073035","ISSN":"0029-5515","abstract":"The history of fusion-fission hybrid systems based on a tokamak device as an extremely efficient DT-fusion neutron source has passed through several periods of ample research activity in the world since the very beginning of fusion research in the 1950s. Recently, a new roadmap of the hybrid program has been proposed with the goal to build a pilot hybrid plant (PHP) in Russia by 2030. Development of the DEMO-FNS tokamak for fusion and hybrid technologies, which is planned to be built by 2023, is the key milestone on the path to the PHP. This facility is in the phase of conceptual design aimed at providing feasibility studies for a full set of steady state tokamak technologies at a fusion energy gain factor Q </w:instrText>
      </w:r>
      <w:r w:rsidRPr="003F3991">
        <w:rPr>
          <w:rFonts w:ascii="Cambria Math" w:hAnsi="Cambria Math" w:cs="Cambria Math"/>
        </w:rPr>
        <w:instrText>∼</w:instrText>
      </w:r>
      <w:r w:rsidRPr="003F3991">
        <w:instrText xml:space="preserve"> 1, fusion power of </w:instrText>
      </w:r>
      <w:r w:rsidRPr="003F3991">
        <w:rPr>
          <w:rFonts w:ascii="Cambria Math" w:hAnsi="Cambria Math" w:cs="Cambria Math"/>
        </w:rPr>
        <w:instrText>∼</w:instrText>
      </w:r>
      <w:r w:rsidRPr="003F3991">
        <w:instrText xml:space="preserve"> 40 MW and opportunities for testing a wide range of hybrid technologies with the emphasis on continuous nuclide processing in molten salts. This paper describes the project motivations, its current status and the key issues of the design.","author":[{"dropping-particle":"","family":"Kuteev","given":"B.V.","non-dropping-particle":"","parse-names":false,"suffix":""},{"dropping-particle":"","family":"Azizov","given":"E.A.","non-dropping-particle":"","parse-names":false,"suffix":""},{"dropping-particle":"","family":"Alexeev","given":"P.N.","non-dropping-particle":"","parse-names":false,"suffix":""},{"dropping-particle":"","family":"Ignatiev","given":"V.V.","non-dropping-particle":"","parse-names":false,"suffix":""},{"dropping-particle":"","family":"Subbotin","given":"S.A.","non-dropping-particle":"","parse-names":false,"suffix":""},{"dropping-particle":"","family":"Tsibulskiy","given":"V.F.","non-dropping-particle":"","parse-names":false,"suffix":""}],"container-title":"Nuclear Fusion","id":"ITEM-1","issue":"7","issued":{"date-parts":[["2015","7","1"]]},"page":"073035","publisher":"IOP Publishing","title":"Development of DEMO-FNS tokamak for fusion and hybrid technologies","type":"article-journal","volume":"55"},"uris":["http://www.mendeley.com/documents/?uuid=1745ded5-8c54-4e54-bb13-cc4b8fefab3b"]},{"id":"ITEM-2","itemData":{"DOI":"10.1088/1741-4326/aa6dcb","ISSN":"0029-5515","author":[{"dropping-particle":"","family":"Kuteev","given":"B.V.","non-dropping-particle":"","parse-names":false,"suffix":""},{"dropping-particle":"","family":"Shpanskiy","given":"Yu.S.","non-dropping-particle":"","parse-names":false,"suffix":""}],"container-title":"Nuclear Fusion","id":"ITEM-2","issue":"7","issued":{"date-parts":[["2017","7","1"]]},"page":"076039","title":"Status of DEMO-FNS development","type":"article-journal","volume":"57"},"uris":["http://www.mendeley.com/documents/?uuid=18681dab-1942-4bca-a842-1d93fa50f05d"]}],"mendeley":{"formattedCitation":"[1], [3]","plainTextFormattedCitation":"[1], [3]","previouslyFormattedCitation":"[1], [3]"},"properties":{"noteIndex":0},"schema":"https://github.com/citation-style-language/schema/raw/master/csl-citation.json"}</w:instrText>
      </w:r>
      <w:r w:rsidR="00A258E8" w:rsidRPr="003F3991">
        <w:fldChar w:fldCharType="separate"/>
      </w:r>
      <w:r w:rsidRPr="003F3991">
        <w:rPr>
          <w:noProof/>
        </w:rPr>
        <w:t>[1], [3]</w:t>
      </w:r>
      <w:r w:rsidR="00A258E8" w:rsidRPr="003F3991">
        <w:fldChar w:fldCharType="end"/>
      </w:r>
      <w:r>
        <w:t>, в том числе тритиевых технологий, некоторые их которых</w:t>
      </w:r>
      <w:r w:rsidRPr="00891DCF">
        <w:t xml:space="preserve"> </w:t>
      </w:r>
      <w:r>
        <w:t xml:space="preserve">входят в перечень двойного назначения и не могут быть импортированы из других </w:t>
      </w:r>
      <w:r w:rsidRPr="003F3991">
        <w:t>стран. Технологии</w:t>
      </w:r>
      <w:r w:rsidRPr="00891DCF">
        <w:t xml:space="preserve"> обращения с тритием и другими изотопами водорода в России применяют в различных областях, что облегчает задачу их использования в </w:t>
      </w:r>
      <w:r>
        <w:t>ТЦ ДЕМО-ТИН, о</w:t>
      </w:r>
      <w:r w:rsidRPr="00891DCF">
        <w:t>днако, до настоящего времени системный подход для оценки степени их готовности для применения в термоядерных установках не был проведен.</w:t>
      </w:r>
    </w:p>
    <w:p w:rsidR="00B907AA" w:rsidRPr="00891DCF" w:rsidRDefault="00B907AA" w:rsidP="00726C14">
      <w:pPr>
        <w:pStyle w:val="Zv-bodyreportcont"/>
        <w:spacing w:line="228" w:lineRule="auto"/>
        <w:ind w:firstLine="284"/>
      </w:pPr>
      <w:r w:rsidRPr="00891DCF">
        <w:t>Для оценки уровня готовности технологи</w:t>
      </w:r>
      <w:r>
        <w:t>й</w:t>
      </w:r>
      <w:r w:rsidRPr="00891DCF">
        <w:t xml:space="preserve"> авторами</w:t>
      </w:r>
      <w:r>
        <w:t xml:space="preserve"> используется </w:t>
      </w:r>
      <w:r w:rsidRPr="00891DCF">
        <w:t xml:space="preserve">методология </w:t>
      </w:r>
      <w:r w:rsidRPr="00891DCF">
        <w:rPr>
          <w:lang w:val="en-US"/>
        </w:rPr>
        <w:t>Technology</w:t>
      </w:r>
      <w:r w:rsidRPr="00891DCF">
        <w:t xml:space="preserve"> </w:t>
      </w:r>
      <w:r w:rsidRPr="00891DCF">
        <w:rPr>
          <w:lang w:val="en-US"/>
        </w:rPr>
        <w:t>readiness</w:t>
      </w:r>
      <w:r w:rsidRPr="00891DCF">
        <w:t xml:space="preserve"> </w:t>
      </w:r>
      <w:r w:rsidRPr="00891DCF">
        <w:rPr>
          <w:lang w:val="en-US"/>
        </w:rPr>
        <w:t>level</w:t>
      </w:r>
      <w:r w:rsidRPr="00891DCF">
        <w:t xml:space="preserve"> (</w:t>
      </w:r>
      <w:r w:rsidRPr="00891DCF">
        <w:rPr>
          <w:lang w:val="en-US"/>
        </w:rPr>
        <w:t>TRL</w:t>
      </w:r>
      <w:r w:rsidRPr="00891DCF">
        <w:t xml:space="preserve">). В узком смысле, методология </w:t>
      </w:r>
      <w:r w:rsidRPr="00891DCF">
        <w:rPr>
          <w:lang w:val="en-US"/>
        </w:rPr>
        <w:t>TRL</w:t>
      </w:r>
      <w:r w:rsidRPr="00891DCF">
        <w:t xml:space="preserve"> позволяет оценить готовность отдельной технологии для использования в конкретном устройстве или технической системе, в широком</w:t>
      </w:r>
      <w:r>
        <w:t xml:space="preserve"> -</w:t>
      </w:r>
      <w:r w:rsidRPr="00891DCF">
        <w:t xml:space="preserve"> для выполнения целей научной или технологической программы. </w:t>
      </w:r>
      <w:r>
        <w:t xml:space="preserve">Этот </w:t>
      </w:r>
      <w:r w:rsidRPr="00891DCF">
        <w:t>же</w:t>
      </w:r>
      <w:r>
        <w:t xml:space="preserve"> подход </w:t>
      </w:r>
      <w:r w:rsidRPr="00891DCF">
        <w:t>позволяет формально оценить технологические разрывы, планировать необходимые исследования и инвестиции, определить возможные риски.</w:t>
      </w:r>
      <w:r>
        <w:t xml:space="preserve"> М</w:t>
      </w:r>
      <w:r w:rsidRPr="00891DCF">
        <w:t>етодологи</w:t>
      </w:r>
      <w:r>
        <w:t>я</w:t>
      </w:r>
      <w:r w:rsidRPr="00891DCF">
        <w:t xml:space="preserve"> </w:t>
      </w:r>
      <w:r w:rsidRPr="00891DCF">
        <w:rPr>
          <w:lang w:val="en-US"/>
        </w:rPr>
        <w:t>TRL</w:t>
      </w:r>
      <w:r w:rsidRPr="00891DCF">
        <w:t xml:space="preserve"> </w:t>
      </w:r>
      <w:r>
        <w:t xml:space="preserve">получила широкое распространение и в последнее время активно применяется в научной сфере - в частности, она была использована </w:t>
      </w:r>
      <w:r w:rsidRPr="00891DCF">
        <w:t>для оценки готовности технологий</w:t>
      </w:r>
      <w:r>
        <w:t xml:space="preserve"> в термоядерной сфере</w:t>
      </w:r>
      <w:r w:rsidRPr="00891DCF">
        <w:t xml:space="preserve">: для промышленного термоядерного реактора </w:t>
      </w:r>
      <w:r w:rsidR="00A258E8" w:rsidRPr="00891DCF">
        <w:fldChar w:fldCharType="begin" w:fldLock="1"/>
      </w:r>
      <w:r>
        <w:instrText>ADDIN CSL_CITATION {"citationItems":[{"id":"ITEM-1","itemData":{"DOI":"10.13182/FST09-A9033","ISSN":"15361055","abstract":"The ARIES Team currently is engaged in an effort called the \"ARIES Pathways Study\". The goals of this study are to evaluate remaining R&amp;D needs toward practical fusion energy and to identify and evaluate possible \"next step \" devices to bridge the gap between ITER and an attractive power plant. In order to evaluate our current state of readiness and remaining R&amp;D needs, we adopted a methodology called \"Technology Readiness Levels \". We defined a quantitative set of readiness levels that encompass the major technology challenges for fusion energy development, and have applied them to evaluate our current level of advancement and R&amp;D needs for an advanced tokamak power plant concept based on recent ARIES designs. Results of the evaluation and recommendations for future R&amp;D are presented.","author":[{"dropping-particle":"","family":"Tillack","given":"M. S.","non-dropping-particle":"","parse-names":false,"suffix":""},{"dropping-particle":"","family":"Turnbull","given":"A. D.","non-dropping-particle":"","parse-names":false,"suffix":""},{"dropping-particle":"","family":"Waganer","given":"L. M.","non-dropping-particle":"","parse-names":false,"suffix":""},{"dropping-particle":"","family":"Malang","given":"S.","non-dropping-particle":"","parse-names":false,"suffix":""},{"dropping-particle":"","family":"Steiner","given":"D.","non-dropping-particle":"","parse-names":false,"suffix":""},{"dropping-particle":"","family":"Sharpe","given":"J. P.","non-dropping-particle":"","parse-names":false,"suffix":""},{"dropping-particle":"","family":"Cadwallader","given":"L. C.","non-dropping-particle":"","parse-names":false,"suffix":""},{"dropping-particle":"","family":"El-Guebaly","given":"L.","non-dropping-particle":"","parse-names":false,"suffix":""},{"dropping-particle":"","family":"Raffray","given":"A. R.","non-dropping-particle":"","parse-names":false,"suffix":""},{"dropping-particle":"","family":"Najmabadi","given":"F.","non-dropping-particle":"","parse-names":false,"suffix":""},{"dropping-particle":"","family":"Peipert","given":"R. J.","non-dropping-particle":"","parse-names":false,"suffix":""},{"dropping-particle":"","family":"Weaver","given":"T. L.","non-dropping-particle":"","parse-names":false,"suffix":""}],"container-title":"Fusion Science and Technology","id":"ITEM-1","issue":"2","issued":{"date-parts":[["2009"]]},"page":"949-956","title":"An evaluation of fusion energy R&amp;D gaps using technology readiness levels","type":"article-journal","volume":"56"},"uris":["http://www.mendeley.com/documents/?uuid=a51b8586-10eb-46fc-bc0e-f1fef5be6af2"]}],"mendeley":{"formattedCitation":"[4]","plainTextFormattedCitation":"[4]","previouslyFormattedCitation":"[4]"},"properties":{"noteIndex":0},"schema":"https://github.com/citation-style-language/schema/raw/master/csl-citation.json"}</w:instrText>
      </w:r>
      <w:r w:rsidR="00A258E8" w:rsidRPr="00891DCF">
        <w:fldChar w:fldCharType="separate"/>
      </w:r>
      <w:r w:rsidRPr="00891DCF">
        <w:rPr>
          <w:noProof/>
        </w:rPr>
        <w:t>[4]</w:t>
      </w:r>
      <w:r w:rsidR="00A258E8" w:rsidRPr="00891DCF">
        <w:fldChar w:fldCharType="end"/>
      </w:r>
      <w:r w:rsidRPr="00891DCF">
        <w:t xml:space="preserve">; для топливного цикла реактора </w:t>
      </w:r>
      <w:r w:rsidRPr="00891DCF">
        <w:rPr>
          <w:lang w:val="en-US"/>
        </w:rPr>
        <w:t>DEMO</w:t>
      </w:r>
      <w:r w:rsidRPr="00891DCF">
        <w:t xml:space="preserve"> </w:t>
      </w:r>
      <w:r w:rsidR="00A258E8" w:rsidRPr="00891DCF">
        <w:fldChar w:fldCharType="begin" w:fldLock="1"/>
      </w:r>
      <w:r>
        <w:instrText>ADDIN CSL_CITATION {"citationItems":[{"id":"ITEM-1","itemData":{"DOI":"10.1016/j.fusengdes.2018.02.015","ISSN":"09203796","abstract":"In the context of the EU-DEMO pre-conceptual design phase and the setup of a fuel cycle simulation tool, we analysed twelve prime technology candidates of the fusion fuel cycle to determine the impact of these choices and future R&amp;D priorities. The main function and working principle of these technologies are shortly characterized and two evaluation parameters are introduced: the Technology Readiness Level and the DEMO Importance Level. The former is an approach adapted from literature to evaluate the maturity of a technology in the categories theory, experiments and integration. The latter grades the performance, reliability and impact on system robustness of each technology deriving its criticality. Ultimately, both parameters are combined to form a matrix of research priorities. Technologies of high importance and low maturity, namely the breeding blanket, metal foil pump and thermal cycling absorption process are ranked highest priority. Second priority is given to technologies of lesser criticality and maturity, such as vacuum pumps. Technologies of high maturity and importance are graded third priority. They require proper integration on a system level to counteract the boundary conditions they impose. Last priority is given to well established, reliable technologies such as cryotraps and depleted uranium getter beds.","author":[{"dropping-particle":"","family":"Hörstensmeyer","given":"Yannick Nicolas","non-dropping-particle":"","parse-names":false,"suffix":""},{"dropping-particle":"","family":"Butler","given":"Barry","non-dropping-particle":"","parse-names":false,"suffix":""},{"dropping-particle":"","family":"Day","given":"Christian","non-dropping-particle":"","parse-names":false,"suffix":""},{"dropping-particle":"","family":"Franza","given":"Fabrizio","non-dropping-particle":"","parse-names":false,"suffix":""}],"container-title":"Fusion Engineering and Design","id":"ITEM-1","issue":"January","issued":{"date-parts":[["2018"]]},"page":"314-318","publisher":"Elsevier","title":"Analysis of the EU-DEMO fuel cycle elements: Intrinsic impact of technology choices","type":"article-journal","volume":"136"},"uris":["http://www.mendeley.com/documents/?uuid=fe3d64d1-9d75-4753-9634-42babf830f4e"]}],"mendeley":{"formattedCitation":"[5]","plainTextFormattedCitation":"[5]","previouslyFormattedCitation":"[5]"},"properties":{"noteIndex":0},"schema":"https://github.com/citation-style-language/schema/raw/master/csl-citation.json"}</w:instrText>
      </w:r>
      <w:r w:rsidR="00A258E8" w:rsidRPr="00891DCF">
        <w:fldChar w:fldCharType="separate"/>
      </w:r>
      <w:r w:rsidRPr="00891DCF">
        <w:rPr>
          <w:noProof/>
        </w:rPr>
        <w:t>[5]</w:t>
      </w:r>
      <w:r w:rsidR="00A258E8" w:rsidRPr="00891DCF">
        <w:fldChar w:fldCharType="end"/>
      </w:r>
      <w:r w:rsidRPr="00891DCF">
        <w:t>;</w:t>
      </w:r>
      <w:r>
        <w:rPr>
          <w:lang w:val="en-US"/>
        </w:rPr>
        <w:t xml:space="preserve"> </w:t>
      </w:r>
      <w:r w:rsidRPr="00891DCF">
        <w:t>для диагностик</w:t>
      </w:r>
      <w:r w:rsidRPr="00891DCF">
        <w:rPr>
          <w:lang w:val="en-US"/>
        </w:rPr>
        <w:t xml:space="preserve"> </w:t>
      </w:r>
      <w:r w:rsidRPr="00891DCF">
        <w:t xml:space="preserve">плазмы </w:t>
      </w:r>
      <w:r w:rsidR="00A258E8" w:rsidRPr="00891DCF">
        <w:fldChar w:fldCharType="begin" w:fldLock="1"/>
      </w:r>
      <w:r>
        <w:instrText>ADDIN CSL_CITATION {"citationItems":[{"id":"ITEM-1","itemData":{"DOI":"10.1088/0029-5515/56/2/026009","ISSN":"17414326","abstract":"The present paper is devoted to a first assessment of the DEMO diagnostics systems and controls in the context of pulsed and steady state reactor design under study in Europe. In particular, the main arguments treated are: (i) The quantities to be measured in DEMO and the requirements for the measurements; (ii) the present capability of the diagnostic and control technology, determining the most urgent gaps, and (iii) the program and strategy of the research and development (R&amp;D) needed to fill the gaps. Burn control, magnetohydrodynamic stability, and basic machine protection require improvements to the ITER technology, and moderated efforts in R&amp;D can be dedicated to infrared diagnostics (reflectometry, electron cyclotron emission, polarimetry) and neutron diagnostics. Metallic Hall sensors appear to be a promising candidate for magnetic measurements in the high neutron fluence and long/steady state discharges of DEMO.","author":[{"dropping-particle":"","family":"Orsitto","given":"F. P.","non-dropping-particle":"","parse-names":false,"suffix":""},{"dropping-particle":"","family":"Villari","given":"R.","non-dropping-particle":"","parse-names":false,"suffix":""},{"dropping-particle":"","family":"Moro","given":"F.","non-dropping-particle":"","parse-names":false,"suffix":""},{"dropping-particle":"","family":"Todd","given":"T. N.","non-dropping-particle":"","parse-names":false,"suffix":""},{"dropping-particle":"","family":"Lilley","given":"S.","non-dropping-particle":"","parse-names":false,"suffix":""},{"dropping-particle":"","family":"Jenkins","given":"I.","non-dropping-particle":"","parse-names":false,"suffix":""},{"dropping-particle":"","family":"Felton","given":"R.","non-dropping-particle":"","parse-names":false,"suffix":""},{"dropping-particle":"","family":"Biel","given":"W.","non-dropping-particle":"","parse-names":false,"suffix":""},{"dropping-particle":"","family":"Silva","given":"A.","non-dropping-particle":"","parse-names":false,"suffix":""},{"dropping-particle":"","family":"Scholz","given":"M.","non-dropping-particle":"","parse-names":false,"suffix":""},{"dropping-particle":"","family":"Rzadkiewicz","given":"J.","non-dropping-particle":"","parse-names":false,"suffix":""},{"dropping-particle":"","family":"Duran","given":"I.","non-dropping-particle":"","parse-names":false,"suffix":""},{"dropping-particle":"","family":"Tardocchi","given":"M.","non-dropping-particle":"","parse-names":false,"suffix":""},{"dropping-particle":"","family":"Gorini","given":"G.","non-dropping-particle":"","parse-names":false,"suffix":""},{"dropping-particle":"","family":"Morlock","given":"C.","non-dropping-particle":"","parse-names":false,"suffix":""},{"dropping-particle":"","family":"Federici","given":"G.","non-dropping-particle":"","parse-names":false,"suffix":""},{"dropping-particle":"","family":"Litnovsky","given":"A.","non-dropping-particle":"","parse-names":false,"suffix":""}],"container-title":"Nuclear Fusion","id":"ITEM-1","issue":"2","issued":{"date-parts":[["2016"]]},"publisher":"IOP Publishing","title":"Diagnostics and control for the steady state and pulsed tokamak DEMO","type":"article-journal","volume":"56"},"uris":["http://www.mendeley.com/documents/?uuid=2a57c55a-c350-4d40-8613-897140f62a65"]}],"mendeley":{"formattedCitation":"[6]","plainTextFormattedCitation":"[6]","previouslyFormattedCitation":"[7]"},"properties":{"noteIndex":0},"schema":"https://github.com/citation-style-language/schema/raw/master/csl-citation.json"}</w:instrText>
      </w:r>
      <w:r w:rsidR="00A258E8" w:rsidRPr="00891DCF">
        <w:fldChar w:fldCharType="separate"/>
      </w:r>
      <w:r w:rsidRPr="00D21937">
        <w:rPr>
          <w:noProof/>
        </w:rPr>
        <w:t>[6]</w:t>
      </w:r>
      <w:r w:rsidR="00A258E8" w:rsidRPr="00891DCF">
        <w:fldChar w:fldCharType="end"/>
      </w:r>
      <w:r w:rsidRPr="00891DCF">
        <w:t xml:space="preserve">. В </w:t>
      </w:r>
      <w:r>
        <w:t>этих</w:t>
      </w:r>
      <w:r w:rsidRPr="00891DCF">
        <w:t xml:space="preserve"> работах продемонстрирована эффективность методологии </w:t>
      </w:r>
      <w:r w:rsidRPr="00891DCF">
        <w:rPr>
          <w:lang w:val="en-US"/>
        </w:rPr>
        <w:t>TRL</w:t>
      </w:r>
      <w:r w:rsidRPr="00891DCF">
        <w:t xml:space="preserve"> для оценки различных термоядерных технологий и для планирования исследовательских программ.</w:t>
      </w:r>
    </w:p>
    <w:p w:rsidR="00B907AA" w:rsidRPr="003F3991" w:rsidRDefault="00B907AA" w:rsidP="00726C14">
      <w:pPr>
        <w:pStyle w:val="Zv-bodyreport"/>
        <w:spacing w:line="228" w:lineRule="auto"/>
      </w:pPr>
      <w:r>
        <w:t xml:space="preserve">Показано, что технологий, которые будут использованы в ТЦ ДЕМО-ТИН, отработаны в РФ и используются в других направлениях промышленности и науки. Отсутствие специализированной стендовой базы для отработки технологий применительно к ТЦ ТЯР или гибридных систем, позволяет нам оценить их готовность на уровене </w:t>
      </w:r>
      <w:r>
        <w:rPr>
          <w:lang w:val="en-US"/>
        </w:rPr>
        <w:t>TRL</w:t>
      </w:r>
      <w:r>
        <w:t xml:space="preserve"> 2 – 5. Это в целом соответствует уровню технологий в мире для большинства технологий тритиевого ТЦ. Для дальнейшего развития и повышения уровня готовности необходима отработка технологий в операционных условиях.</w:t>
      </w:r>
    </w:p>
    <w:p w:rsidR="00B907AA" w:rsidRPr="00B613E4" w:rsidRDefault="00B907AA" w:rsidP="00726C14">
      <w:pPr>
        <w:pStyle w:val="Zv-bodyreport"/>
        <w:spacing w:line="228" w:lineRule="auto"/>
      </w:pPr>
      <w:r w:rsidRPr="00D1143D">
        <w:t>Работа поддержана НИЦ «Курчатовский институт» (28.09.2020 № 1934а).</w:t>
      </w:r>
    </w:p>
    <w:p w:rsidR="00B907AA" w:rsidRPr="00E52039" w:rsidRDefault="00B907AA" w:rsidP="00726C14">
      <w:pPr>
        <w:pStyle w:val="Zv-TitleReferences-ru"/>
        <w:spacing w:line="228" w:lineRule="auto"/>
      </w:pPr>
      <w:r w:rsidRPr="00885BCF">
        <w:t>Литература</w:t>
      </w:r>
    </w:p>
    <w:p w:rsidR="00B907AA" w:rsidRPr="00D21937" w:rsidRDefault="00A258E8" w:rsidP="00726C14">
      <w:pPr>
        <w:pStyle w:val="Zv-References-ru"/>
        <w:spacing w:line="228" w:lineRule="auto"/>
        <w:rPr>
          <w:noProof/>
          <w:lang w:val="en-GB"/>
        </w:rPr>
      </w:pPr>
      <w:r w:rsidRPr="00A258E8">
        <w:fldChar w:fldCharType="begin" w:fldLock="1"/>
      </w:r>
      <w:r w:rsidR="00B907AA" w:rsidRPr="00726C14">
        <w:rPr>
          <w:lang w:val="en-US"/>
        </w:rPr>
        <w:instrText xml:space="preserve">ADDIN Mendeley Bibliography CSL_BIBLIOGRAPHY </w:instrText>
      </w:r>
      <w:r w:rsidRPr="00A258E8">
        <w:fldChar w:fldCharType="separate"/>
      </w:r>
      <w:r w:rsidR="00B907AA" w:rsidRPr="00D21937">
        <w:rPr>
          <w:noProof/>
          <w:lang w:val="en-GB"/>
        </w:rPr>
        <w:t>B.V. Kuteev, E.A. Azizov</w:t>
      </w:r>
      <w:r w:rsidR="00B907AA" w:rsidRPr="00B907AA">
        <w:rPr>
          <w:noProof/>
          <w:lang w:val="en-US"/>
        </w:rPr>
        <w:t xml:space="preserve">, </w:t>
      </w:r>
      <w:r w:rsidR="00B907AA">
        <w:rPr>
          <w:noProof/>
          <w:lang w:val="en-US"/>
        </w:rPr>
        <w:t>et al.</w:t>
      </w:r>
      <w:r w:rsidR="00B907AA" w:rsidRPr="00B907AA">
        <w:rPr>
          <w:noProof/>
          <w:lang w:val="en-US"/>
        </w:rPr>
        <w:t>,</w:t>
      </w:r>
      <w:r w:rsidR="00B907AA">
        <w:rPr>
          <w:noProof/>
          <w:lang w:val="en-US"/>
        </w:rPr>
        <w:t xml:space="preserve"> </w:t>
      </w:r>
      <w:r w:rsidR="00B907AA" w:rsidRPr="00D21937">
        <w:rPr>
          <w:i/>
          <w:iCs/>
          <w:noProof/>
          <w:lang w:val="en-GB"/>
        </w:rPr>
        <w:t>Nucl. Fusion</w:t>
      </w:r>
      <w:r w:rsidR="00B907AA" w:rsidRPr="00D21937">
        <w:rPr>
          <w:noProof/>
          <w:lang w:val="en-GB"/>
        </w:rPr>
        <w:t>, vol. 55, no. 7, p. 073035, Jul. 2015.</w:t>
      </w:r>
    </w:p>
    <w:p w:rsidR="00B907AA" w:rsidRPr="00D21937" w:rsidRDefault="00B907AA" w:rsidP="00726C14">
      <w:pPr>
        <w:pStyle w:val="Zv-References-ru"/>
        <w:spacing w:line="228" w:lineRule="auto"/>
        <w:rPr>
          <w:noProof/>
          <w:lang w:val="en-GB"/>
        </w:rPr>
      </w:pPr>
      <w:r w:rsidRPr="00D21937">
        <w:rPr>
          <w:noProof/>
          <w:lang w:val="en-GB"/>
        </w:rPr>
        <w:t xml:space="preserve">S.S. Ananyev, B.V. Ivanov, and B.V. Kuteev, </w:t>
      </w:r>
      <w:r w:rsidRPr="00D21937">
        <w:rPr>
          <w:i/>
          <w:iCs/>
          <w:noProof/>
          <w:lang w:val="en-GB"/>
        </w:rPr>
        <w:t>Fusion Eng. Des.</w:t>
      </w:r>
      <w:r w:rsidRPr="00D21937">
        <w:rPr>
          <w:noProof/>
          <w:lang w:val="en-GB"/>
        </w:rPr>
        <w:t>, vol. 161, no. December 2019, p. 111940, 2020.</w:t>
      </w:r>
    </w:p>
    <w:p w:rsidR="00B907AA" w:rsidRPr="00D21937" w:rsidRDefault="00B907AA" w:rsidP="00726C14">
      <w:pPr>
        <w:pStyle w:val="Zv-References-ru"/>
        <w:spacing w:line="228" w:lineRule="auto"/>
        <w:rPr>
          <w:noProof/>
          <w:lang w:val="en-GB"/>
        </w:rPr>
      </w:pPr>
      <w:r w:rsidRPr="00D21937">
        <w:rPr>
          <w:noProof/>
          <w:lang w:val="en-GB"/>
        </w:rPr>
        <w:t xml:space="preserve">B.V. Kuteev and Y.S. Shpanskiy, </w:t>
      </w:r>
      <w:r w:rsidRPr="00D21937">
        <w:rPr>
          <w:i/>
          <w:iCs/>
          <w:noProof/>
          <w:lang w:val="en-GB"/>
        </w:rPr>
        <w:t>Nucl. Fusion</w:t>
      </w:r>
      <w:r w:rsidRPr="00D21937">
        <w:rPr>
          <w:noProof/>
          <w:lang w:val="en-GB"/>
        </w:rPr>
        <w:t>, vol. 57, no. 7, p. 076039, Jul. 2017.</w:t>
      </w:r>
    </w:p>
    <w:p w:rsidR="00B907AA" w:rsidRPr="00D21937" w:rsidRDefault="00B907AA" w:rsidP="00726C14">
      <w:pPr>
        <w:pStyle w:val="Zv-References-ru"/>
        <w:spacing w:line="228" w:lineRule="auto"/>
        <w:rPr>
          <w:noProof/>
          <w:lang w:val="en-GB"/>
        </w:rPr>
      </w:pPr>
      <w:r w:rsidRPr="00D21937">
        <w:rPr>
          <w:noProof/>
          <w:lang w:val="en-GB"/>
        </w:rPr>
        <w:t xml:space="preserve">M.S. Tillack </w:t>
      </w:r>
      <w:r w:rsidRPr="00D21937">
        <w:rPr>
          <w:i/>
          <w:iCs/>
          <w:noProof/>
          <w:lang w:val="en-GB"/>
        </w:rPr>
        <w:t>et al.</w:t>
      </w:r>
      <w:r w:rsidRPr="00D21937">
        <w:rPr>
          <w:noProof/>
          <w:lang w:val="en-GB"/>
        </w:rPr>
        <w:t xml:space="preserve">, </w:t>
      </w:r>
      <w:r w:rsidRPr="00D21937">
        <w:rPr>
          <w:i/>
          <w:iCs/>
          <w:noProof/>
          <w:lang w:val="en-GB"/>
        </w:rPr>
        <w:t>Fusion Sci. Technol.</w:t>
      </w:r>
      <w:r w:rsidRPr="00D21937">
        <w:rPr>
          <w:noProof/>
          <w:lang w:val="en-GB"/>
        </w:rPr>
        <w:t>, vol. 56, no. 2, pp. 949–956, 2009.</w:t>
      </w:r>
    </w:p>
    <w:p w:rsidR="00B907AA" w:rsidRPr="00D21937" w:rsidRDefault="00B907AA" w:rsidP="00726C14">
      <w:pPr>
        <w:pStyle w:val="Zv-References-ru"/>
        <w:spacing w:line="228" w:lineRule="auto"/>
        <w:rPr>
          <w:noProof/>
          <w:lang w:val="en-GB"/>
        </w:rPr>
      </w:pPr>
      <w:r w:rsidRPr="00D21937">
        <w:rPr>
          <w:noProof/>
          <w:lang w:val="en-GB"/>
        </w:rPr>
        <w:t xml:space="preserve">Y.N. Hörstensmeyer, B. Butler, C. Day, and F. Franza, </w:t>
      </w:r>
      <w:r w:rsidRPr="00D21937">
        <w:rPr>
          <w:i/>
          <w:iCs/>
          <w:noProof/>
          <w:lang w:val="en-GB"/>
        </w:rPr>
        <w:t>Fusion Eng. Des.</w:t>
      </w:r>
      <w:r w:rsidRPr="00D21937">
        <w:rPr>
          <w:noProof/>
          <w:lang w:val="en-GB"/>
        </w:rPr>
        <w:t>, vol. 136, no. January, pp. 314–318, 2018.</w:t>
      </w:r>
    </w:p>
    <w:p w:rsidR="00B907AA" w:rsidRPr="00D21937" w:rsidRDefault="00B907AA" w:rsidP="00726C14">
      <w:pPr>
        <w:pStyle w:val="Zv-References-ru"/>
        <w:spacing w:line="228" w:lineRule="auto"/>
        <w:rPr>
          <w:noProof/>
        </w:rPr>
      </w:pPr>
      <w:r w:rsidRPr="00D21937">
        <w:rPr>
          <w:noProof/>
          <w:lang w:val="en-GB"/>
        </w:rPr>
        <w:t xml:space="preserve">F.P. Orsitto </w:t>
      </w:r>
      <w:r w:rsidRPr="00D21937">
        <w:rPr>
          <w:i/>
          <w:iCs/>
          <w:noProof/>
          <w:lang w:val="en-GB"/>
        </w:rPr>
        <w:t>et al.</w:t>
      </w:r>
      <w:r w:rsidRPr="00D21937">
        <w:rPr>
          <w:noProof/>
          <w:lang w:val="en-GB"/>
        </w:rPr>
        <w:t xml:space="preserve">, </w:t>
      </w:r>
      <w:r w:rsidRPr="00D21937">
        <w:rPr>
          <w:i/>
          <w:iCs/>
          <w:noProof/>
          <w:lang w:val="en-GB"/>
        </w:rPr>
        <w:t>Nucl. Fusion</w:t>
      </w:r>
      <w:r w:rsidRPr="00D21937">
        <w:rPr>
          <w:noProof/>
          <w:lang w:val="en-GB"/>
        </w:rPr>
        <w:t>, vol. 56, no. 2, 2016.</w:t>
      </w:r>
    </w:p>
    <w:p w:rsidR="00654A7B" w:rsidRPr="00726C14" w:rsidRDefault="00A258E8" w:rsidP="00726C14">
      <w:pPr>
        <w:spacing w:line="228" w:lineRule="auto"/>
        <w:rPr>
          <w:sz w:val="16"/>
          <w:szCs w:val="16"/>
          <w:lang w:val="en-US"/>
        </w:rPr>
      </w:pPr>
      <w:r>
        <w:fldChar w:fldCharType="end"/>
      </w:r>
    </w:p>
    <w:sectPr w:rsidR="00654A7B" w:rsidRPr="00726C14" w:rsidSect="00885BCF">
      <w:headerReference w:type="default" r:id="rId8"/>
      <w:footerReference w:type="even" r:id="rId9"/>
      <w:footerReference w:type="default" r:id="rId10"/>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469" w:rsidRDefault="006C4469">
      <w:r>
        <w:separator/>
      </w:r>
    </w:p>
  </w:endnote>
  <w:endnote w:type="continuationSeparator" w:id="0">
    <w:p w:rsidR="006C4469" w:rsidRDefault="006C44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1AD" w:rsidRDefault="00A258E8" w:rsidP="00654A7B">
    <w:pPr>
      <w:pStyle w:val="a4"/>
      <w:framePr w:wrap="around" w:vAnchor="text" w:hAnchor="margin" w:xAlign="center" w:y="1"/>
      <w:rPr>
        <w:rStyle w:val="a5"/>
      </w:rPr>
    </w:pPr>
    <w:r>
      <w:rPr>
        <w:rStyle w:val="a5"/>
      </w:rPr>
      <w:fldChar w:fldCharType="begin"/>
    </w:r>
    <w:r w:rsidR="004D01AD">
      <w:rPr>
        <w:rStyle w:val="a5"/>
      </w:rPr>
      <w:instrText xml:space="preserve">PAGE  </w:instrText>
    </w:r>
    <w:r>
      <w:rPr>
        <w:rStyle w:val="a5"/>
      </w:rPr>
      <w:fldChar w:fldCharType="end"/>
    </w:r>
  </w:p>
  <w:p w:rsidR="004D01AD" w:rsidRDefault="004D01A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1AD" w:rsidRDefault="00A258E8" w:rsidP="00654A7B">
    <w:pPr>
      <w:pStyle w:val="a4"/>
      <w:framePr w:wrap="around" w:vAnchor="text" w:hAnchor="margin" w:xAlign="center" w:y="1"/>
      <w:rPr>
        <w:rStyle w:val="a5"/>
      </w:rPr>
    </w:pPr>
    <w:r>
      <w:rPr>
        <w:rStyle w:val="a5"/>
      </w:rPr>
      <w:fldChar w:fldCharType="begin"/>
    </w:r>
    <w:r w:rsidR="004D01AD">
      <w:rPr>
        <w:rStyle w:val="a5"/>
      </w:rPr>
      <w:instrText xml:space="preserve">PAGE  </w:instrText>
    </w:r>
    <w:r>
      <w:rPr>
        <w:rStyle w:val="a5"/>
      </w:rPr>
      <w:fldChar w:fldCharType="separate"/>
    </w:r>
    <w:r w:rsidR="00A520F7">
      <w:rPr>
        <w:rStyle w:val="a5"/>
        <w:noProof/>
      </w:rPr>
      <w:t>1</w:t>
    </w:r>
    <w:r>
      <w:rPr>
        <w:rStyle w:val="a5"/>
      </w:rPr>
      <w:fldChar w:fldCharType="end"/>
    </w:r>
  </w:p>
  <w:p w:rsidR="004D01AD" w:rsidRDefault="004D01A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469" w:rsidRDefault="006C4469">
      <w:r>
        <w:separator/>
      </w:r>
    </w:p>
  </w:footnote>
  <w:footnote w:type="continuationSeparator" w:id="0">
    <w:p w:rsidR="006C4469" w:rsidRDefault="006C4469">
      <w:r>
        <w:continuationSeparator/>
      </w:r>
    </w:p>
  </w:footnote>
  <w:footnote w:id="1">
    <w:p w:rsidR="00726C14" w:rsidRPr="00726C14" w:rsidRDefault="00726C14">
      <w:pPr>
        <w:pStyle w:val="a7"/>
        <w:rPr>
          <w:sz w:val="22"/>
          <w:szCs w:val="22"/>
          <w:lang w:val="en-US"/>
        </w:rPr>
      </w:pPr>
      <w:r w:rsidRPr="00726C14">
        <w:rPr>
          <w:rStyle w:val="a9"/>
          <w:sz w:val="22"/>
          <w:szCs w:val="22"/>
        </w:rPr>
        <w:t>*)</w:t>
      </w:r>
      <w:r w:rsidRPr="00726C14">
        <w:rPr>
          <w:sz w:val="22"/>
          <w:szCs w:val="22"/>
        </w:rPr>
        <w:t xml:space="preserve">  </w:t>
      </w:r>
      <w:hyperlink r:id="rId1" w:history="1">
        <w:r w:rsidRPr="00726C14">
          <w:rPr>
            <w:rStyle w:val="aa"/>
            <w:sz w:val="22"/>
            <w:szCs w:val="22"/>
          </w:rPr>
          <w:t>DOI – тезисы на английском</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1AD" w:rsidRDefault="004D01AD">
    <w:pPr>
      <w:pStyle w:val="a3"/>
      <w:jc w:val="center"/>
      <w:rPr>
        <w:sz w:val="20"/>
      </w:rPr>
    </w:pPr>
    <w:r>
      <w:rPr>
        <w:sz w:val="20"/>
      </w:rPr>
      <w:t xml:space="preserve"> </w:t>
    </w:r>
    <w:r>
      <w:rPr>
        <w:sz w:val="20"/>
        <w:lang w:val="en-US"/>
      </w:rPr>
      <w:t>XLVIII</w:t>
    </w:r>
    <w:r>
      <w:rPr>
        <w:sz w:val="20"/>
      </w:rPr>
      <w:t xml:space="preserve"> Международная (Звенигородская) конференция по физике плазмы и УТС,  </w:t>
    </w:r>
    <w:r w:rsidRPr="0064490A">
      <w:rPr>
        <w:sz w:val="20"/>
      </w:rPr>
      <w:t>1</w:t>
    </w:r>
    <w:r w:rsidRPr="00DF6D4D">
      <w:rPr>
        <w:sz w:val="20"/>
      </w:rPr>
      <w:t>5</w:t>
    </w:r>
    <w:r>
      <w:rPr>
        <w:sz w:val="20"/>
      </w:rPr>
      <w:t xml:space="preserve"> – </w:t>
    </w:r>
    <w:r w:rsidRPr="00DF6D4D">
      <w:rPr>
        <w:sz w:val="20"/>
      </w:rPr>
      <w:t>19</w:t>
    </w:r>
    <w:r>
      <w:rPr>
        <w:sz w:val="20"/>
      </w:rPr>
      <w:t xml:space="preserve"> марта 20</w:t>
    </w:r>
    <w:r w:rsidRPr="0064490A">
      <w:rPr>
        <w:sz w:val="20"/>
      </w:rPr>
      <w:t>2</w:t>
    </w:r>
    <w:r w:rsidRPr="00DF6D4D">
      <w:rPr>
        <w:sz w:val="20"/>
      </w:rPr>
      <w:t>1</w:t>
    </w:r>
    <w:r>
      <w:rPr>
        <w:sz w:val="20"/>
      </w:rPr>
      <w:t xml:space="preserve"> г.</w:t>
    </w:r>
  </w:p>
  <w:p w:rsidR="004D01AD" w:rsidRDefault="00A258E8">
    <w:pPr>
      <w:pStyle w:val="a3"/>
      <w:jc w:val="center"/>
      <w:rPr>
        <w:sz w:val="20"/>
        <w:lang w:val="en-US"/>
      </w:rPr>
    </w:pPr>
    <w:r>
      <w:rPr>
        <w:noProof/>
        <w:sz w:val="20"/>
      </w:rPr>
      <w:pict>
        <v:line id="_x0000_s2055" style="position:absolute;left:0;text-align:left;flip:y;z-index:251657728" from="18pt,1.2pt" to="463.2pt,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4D01AD"/>
    <w:rsid w:val="00037DCC"/>
    <w:rsid w:val="00043701"/>
    <w:rsid w:val="000C7078"/>
    <w:rsid w:val="000D76E9"/>
    <w:rsid w:val="000E495B"/>
    <w:rsid w:val="00140645"/>
    <w:rsid w:val="00171964"/>
    <w:rsid w:val="001C0CCB"/>
    <w:rsid w:val="00200AB2"/>
    <w:rsid w:val="002029F6"/>
    <w:rsid w:val="00220629"/>
    <w:rsid w:val="00247225"/>
    <w:rsid w:val="002A6CD1"/>
    <w:rsid w:val="002D3EBD"/>
    <w:rsid w:val="00352DB2"/>
    <w:rsid w:val="00370072"/>
    <w:rsid w:val="003800F3"/>
    <w:rsid w:val="003B5B93"/>
    <w:rsid w:val="003C1B47"/>
    <w:rsid w:val="00401388"/>
    <w:rsid w:val="00446025"/>
    <w:rsid w:val="00447ABC"/>
    <w:rsid w:val="004A77D1"/>
    <w:rsid w:val="004B72AA"/>
    <w:rsid w:val="004D01AD"/>
    <w:rsid w:val="004F4E29"/>
    <w:rsid w:val="00567C6F"/>
    <w:rsid w:val="00572013"/>
    <w:rsid w:val="0058676C"/>
    <w:rsid w:val="00617E8E"/>
    <w:rsid w:val="00650CBC"/>
    <w:rsid w:val="00654A7B"/>
    <w:rsid w:val="0066672D"/>
    <w:rsid w:val="006673EE"/>
    <w:rsid w:val="00683140"/>
    <w:rsid w:val="0069399C"/>
    <w:rsid w:val="006A1743"/>
    <w:rsid w:val="006C4469"/>
    <w:rsid w:val="006F68D0"/>
    <w:rsid w:val="00726C14"/>
    <w:rsid w:val="00732A2E"/>
    <w:rsid w:val="007B6378"/>
    <w:rsid w:val="00802D35"/>
    <w:rsid w:val="00885BCF"/>
    <w:rsid w:val="008E2894"/>
    <w:rsid w:val="0094721E"/>
    <w:rsid w:val="00A258E8"/>
    <w:rsid w:val="00A520F7"/>
    <w:rsid w:val="00A66876"/>
    <w:rsid w:val="00A71613"/>
    <w:rsid w:val="00AB3459"/>
    <w:rsid w:val="00AD7670"/>
    <w:rsid w:val="00B622ED"/>
    <w:rsid w:val="00B907AA"/>
    <w:rsid w:val="00B9584E"/>
    <w:rsid w:val="00BD05EF"/>
    <w:rsid w:val="00C103CD"/>
    <w:rsid w:val="00C232A0"/>
    <w:rsid w:val="00CA791E"/>
    <w:rsid w:val="00CE0E75"/>
    <w:rsid w:val="00D47F19"/>
    <w:rsid w:val="00DA4715"/>
    <w:rsid w:val="00DE16AD"/>
    <w:rsid w:val="00DF1C1D"/>
    <w:rsid w:val="00DF6D4D"/>
    <w:rsid w:val="00E1331D"/>
    <w:rsid w:val="00E7021A"/>
    <w:rsid w:val="00E87733"/>
    <w:rsid w:val="00F74399"/>
    <w:rsid w:val="00F951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07AA"/>
    <w:rPr>
      <w:sz w:val="24"/>
      <w:szCs w:val="24"/>
      <w:lang w:eastAsia="en-GB"/>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next w:val="a"/>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paragraph" w:customStyle="1" w:styleId="Zv-Titlereport0">
    <w:name w:val="Стиль Zv-Title_report + Узор: Нет (Белый)"/>
    <w:basedOn w:val="Zv-Titlereport"/>
    <w:next w:val="Zv-Author"/>
    <w:rsid w:val="00B907AA"/>
    <w:rPr>
      <w:bCs/>
      <w:shd w:val="clear" w:color="auto" w:fill="FFFFFF"/>
    </w:rPr>
  </w:style>
  <w:style w:type="paragraph" w:styleId="a7">
    <w:name w:val="footnote text"/>
    <w:basedOn w:val="a"/>
    <w:link w:val="a8"/>
    <w:rsid w:val="00726C14"/>
    <w:rPr>
      <w:sz w:val="20"/>
      <w:szCs w:val="20"/>
    </w:rPr>
  </w:style>
  <w:style w:type="character" w:customStyle="1" w:styleId="a8">
    <w:name w:val="Текст сноски Знак"/>
    <w:basedOn w:val="a0"/>
    <w:link w:val="a7"/>
    <w:rsid w:val="00726C14"/>
    <w:rPr>
      <w:lang w:eastAsia="en-GB"/>
    </w:rPr>
  </w:style>
  <w:style w:type="character" w:styleId="a9">
    <w:name w:val="footnote reference"/>
    <w:basedOn w:val="a0"/>
    <w:rsid w:val="00726C14"/>
    <w:rPr>
      <w:vertAlign w:val="superscript"/>
    </w:rPr>
  </w:style>
  <w:style w:type="character" w:styleId="aa">
    <w:name w:val="Hyperlink"/>
    <w:basedOn w:val="a0"/>
    <w:rsid w:val="00726C1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fpl.gpi.ru/Zvenigorod/XLVIII/Mu/en/AE-Ivanov_e.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21_r.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F4BDC4-38EC-4041-8D39-E11B8F898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Zven_2021_r.dotx</Template>
  <TotalTime>1156</TotalTime>
  <Pages>1</Pages>
  <Words>475</Words>
  <Characters>19767</Characters>
  <Application>Microsoft Office Word</Application>
  <DocSecurity>0</DocSecurity>
  <Lines>164</Lines>
  <Paragraphs>40</Paragraphs>
  <ScaleCrop>false</ScaleCrop>
  <HeadingPairs>
    <vt:vector size="2" baseType="variant">
      <vt:variant>
        <vt:lpstr>Название</vt:lpstr>
      </vt:variant>
      <vt:variant>
        <vt:i4>1</vt:i4>
      </vt:variant>
    </vt:vector>
  </HeadingPairs>
  <TitlesOfParts>
    <vt:vector size="1" baseType="lpstr">
      <vt:lpstr>АНАЛИЗ УРОВНЯ ГОТОВНОСТИ ТЕХНОЛОГИЙ ТРИТИЕВОГО ЦИКЛА В РОССИИ ДЛЯ ГИБРИДНОГО РЕАКТОРА ДЕМО-ТИН</vt:lpstr>
    </vt:vector>
  </TitlesOfParts>
  <Company/>
  <LinksUpToDate>false</LinksUpToDate>
  <CharactersWithSpaces>20202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УРОВНЯ ГОТОВНОСТИ ТЕХНОЛОГИЙ ТРИТИЕВОГО ЦИКЛА В РОССИИ ДЛЯ ГИБРИДНОГО РЕАКТОРА ДЕМО-ТИН</dc:title>
  <dc:creator/>
  <cp:lastModifiedBy>Сатунин</cp:lastModifiedBy>
  <cp:revision>4</cp:revision>
  <cp:lastPrinted>1601-01-01T00:00:00Z</cp:lastPrinted>
  <dcterms:created xsi:type="dcterms:W3CDTF">2021-01-19T11:55:00Z</dcterms:created>
  <dcterms:modified xsi:type="dcterms:W3CDTF">2021-05-21T11:04:00Z</dcterms:modified>
</cp:coreProperties>
</file>