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17" w:rsidRDefault="00535217" w:rsidP="00535217">
      <w:pPr>
        <w:pStyle w:val="Zv-Titlereport"/>
      </w:pPr>
      <w:r w:rsidRPr="001D3B89">
        <w:t>СОВМЕСТНОЕ МОДЕЛИРОВАНИЕ ТОПЛИВНЫХ ПОТОКОВ В ПЛАЗМЕ И В СИСТЕМАХ ИНЖЕКЦИИ И ОТКАЧКИ ДЕМО-ТИН</w:t>
      </w:r>
      <w:r w:rsidR="00EA7BC0" w:rsidRPr="00EA7BC0">
        <w:t xml:space="preserve"> </w:t>
      </w:r>
      <w:r w:rsidR="00EA7BC0">
        <w:rPr>
          <w:rStyle w:val="aa"/>
        </w:rPr>
        <w:footnoteReference w:customMarkFollows="1" w:id="1"/>
        <w:t>*)</w:t>
      </w:r>
    </w:p>
    <w:p w:rsidR="00535217" w:rsidRDefault="00535217" w:rsidP="00535217">
      <w:pPr>
        <w:pStyle w:val="Zv-Author"/>
      </w:pPr>
      <w:r w:rsidRPr="001D3B89">
        <w:rPr>
          <w:u w:val="single"/>
        </w:rPr>
        <w:t>С.С. Ананьев</w:t>
      </w:r>
      <w:r w:rsidRPr="001D3B89">
        <w:rPr>
          <w:u w:val="single"/>
          <w:vertAlign w:val="superscript"/>
        </w:rPr>
        <w:t>1</w:t>
      </w:r>
      <w:r w:rsidRPr="001D3B89">
        <w:t>, А.Ю. Днестровский</w:t>
      </w:r>
      <w:r w:rsidRPr="001D3B89">
        <w:rPr>
          <w:vertAlign w:val="superscript"/>
        </w:rPr>
        <w:t>1</w:t>
      </w:r>
      <w:r w:rsidRPr="001D3B89">
        <w:t>, А.С. Кукушкин</w:t>
      </w:r>
      <w:r w:rsidRPr="001D3B89">
        <w:rPr>
          <w:vertAlign w:val="superscript"/>
        </w:rPr>
        <w:t>1,2</w:t>
      </w:r>
    </w:p>
    <w:p w:rsidR="00535217" w:rsidRDefault="00535217" w:rsidP="00535217">
      <w:pPr>
        <w:pStyle w:val="Zv-Organization"/>
      </w:pPr>
      <w:r w:rsidRPr="00E66BD9">
        <w:rPr>
          <w:vertAlign w:val="superscript"/>
        </w:rPr>
        <w:t>1</w:t>
      </w:r>
      <w:r w:rsidRPr="00D168D9">
        <w:t xml:space="preserve">НИЦ «Курчатовский институт», Москва, Россия, </w:t>
      </w:r>
      <w:hyperlink r:id="rId8" w:history="1">
        <w:r w:rsidRPr="00D168D9">
          <w:rPr>
            <w:rStyle w:val="a7"/>
          </w:rPr>
          <w:t>Ananyev_SS@nrcki.ru</w:t>
        </w:r>
      </w:hyperlink>
      <w:r>
        <w:br/>
      </w:r>
      <w:r w:rsidRPr="00E66BD9">
        <w:rPr>
          <w:vertAlign w:val="superscript"/>
        </w:rPr>
        <w:t>2</w:t>
      </w:r>
      <w:r w:rsidRPr="001D3B89">
        <w:t>Национальный исследовательский ядерный университет «МИФИ», Москва, Россия</w:t>
      </w:r>
    </w:p>
    <w:p w:rsidR="00535217" w:rsidRDefault="00535217" w:rsidP="00535217">
      <w:pPr>
        <w:pStyle w:val="Zv-bodyreport"/>
      </w:pPr>
      <w:r w:rsidRPr="00DD114F">
        <w:rPr>
          <w:rFonts w:eastAsia="TimesNewRomanPSMT"/>
        </w:rPr>
        <w:t xml:space="preserve">Для расчётов потоков топливных изотопов для </w:t>
      </w:r>
      <w:bookmarkStart w:id="0" w:name="_GoBack"/>
      <w:r w:rsidRPr="00336F48">
        <w:rPr>
          <w:rFonts w:eastAsia="TimesNewRomanPSMT"/>
        </w:rPr>
        <w:t xml:space="preserve">термоядерного источника нейтронов ДЕМО-ТИН [1] применяется модель топливного цикла FC-FNS [2], использующая совместное моделирование [3] газовых, твердотельных и плазменных потоков в областях основной и диверторной плазмы при инжекции примеси неона в диверторы [4]. </w:t>
      </w:r>
      <w:r w:rsidRPr="00336F48">
        <w:t xml:space="preserve">Рассмотрен подход к моделированию основной плазмы с учетом различного времени удержания частиц от источников топлива. Модифицирован код </w:t>
      </w:r>
      <w:r w:rsidRPr="00336F48">
        <w:rPr>
          <w:rFonts w:eastAsia="TimesNewRomanPSMT"/>
        </w:rPr>
        <w:t>FC-FNS</w:t>
      </w:r>
      <w:r w:rsidRPr="00336F48">
        <w:t xml:space="preserve"> для полного соответствия архитектуре, выбранной при анализе кандидатных технологий топливного цикла (ТЦ) [5] ДЕМО-ТИН. Модель дополнена новым сценарием газоснабжения системы нагревных инжекторов для возможности осуществлять инжекцию </w:t>
      </w:r>
      <w:r w:rsidRPr="00336F48">
        <w:rPr>
          <w:i/>
        </w:rPr>
        <w:t>D</w:t>
      </w:r>
      <w:r w:rsidRPr="00336F48">
        <w:rPr>
          <w:i/>
          <w:vertAlign w:val="superscript"/>
        </w:rPr>
        <w:t>0</w:t>
      </w:r>
      <w:r w:rsidRPr="00336F48">
        <w:rPr>
          <w:i/>
        </w:rPr>
        <w:t>+T</w:t>
      </w:r>
      <w:r w:rsidRPr="00336F48">
        <w:rPr>
          <w:i/>
          <w:vertAlign w:val="superscript"/>
        </w:rPr>
        <w:t>0</w:t>
      </w:r>
      <w:r w:rsidRPr="00336F48">
        <w:t xml:space="preserve"> нейтрального пучка с замкнутым газовым циклом. Проведено моделирование потоков в ТЦ, подобраны параметры топливной инжекции для обеспечения заданных условий в основной и диверторной плазме для различных сценариев изотопного состава нагревных инжекторов. Найден рабочий диапазон для изотопного состава в диверторной плазме, при котором обеспечивается требуемая доля трития в основной плазме. Найдены закономерности, позволяющие производить инжекцию пеллет для борьбы с локализованными краевыми модами при различном изотопном составе в диверторе без негативного воздействия на параметры основной плазмы. Показано, что для обеспечения доли трития в основной плазме </w:t>
      </w:r>
      <w:r w:rsidRPr="00336F48">
        <w:rPr>
          <w:i/>
        </w:rPr>
        <w:t>50%</w:t>
      </w:r>
      <w:r w:rsidRPr="00336F48">
        <w:t xml:space="preserve"> требуется поддерживать параметры диверторной плазмы с заданной долей трития: от </w:t>
      </w:r>
      <w:r w:rsidRPr="00336F48">
        <w:rPr>
          <w:i/>
          <w:iCs/>
        </w:rPr>
        <w:t xml:space="preserve">47% </w:t>
      </w:r>
      <w:r w:rsidRPr="00336F48">
        <w:rPr>
          <w:iCs/>
        </w:rPr>
        <w:t xml:space="preserve">до </w:t>
      </w:r>
      <w:r w:rsidRPr="00336F48">
        <w:rPr>
          <w:i/>
          <w:iCs/>
        </w:rPr>
        <w:t>53%</w:t>
      </w:r>
      <w:r w:rsidRPr="00336F48">
        <w:rPr>
          <w:iCs/>
        </w:rPr>
        <w:t xml:space="preserve"> </w:t>
      </w:r>
      <w:r w:rsidRPr="00336F48">
        <w:t xml:space="preserve">для </w:t>
      </w:r>
      <w:r w:rsidRPr="00336F48">
        <w:rPr>
          <w:i/>
          <w:iCs/>
          <w:lang w:val="en-US"/>
        </w:rPr>
        <w:t>D</w:t>
      </w:r>
      <w:r w:rsidRPr="00336F48">
        <w:rPr>
          <w:i/>
          <w:iCs/>
          <w:vertAlign w:val="superscript"/>
        </w:rPr>
        <w:t>0</w:t>
      </w:r>
      <w:r w:rsidRPr="00336F48">
        <w:rPr>
          <w:i/>
          <w:iCs/>
        </w:rPr>
        <w:t>+Т</w:t>
      </w:r>
      <w:r w:rsidRPr="00336F48">
        <w:rPr>
          <w:i/>
          <w:iCs/>
          <w:vertAlign w:val="superscript"/>
        </w:rPr>
        <w:t>0</w:t>
      </w:r>
      <w:r w:rsidRPr="00336F48">
        <w:t xml:space="preserve"> – нагревного пучка и от </w:t>
      </w:r>
      <w:r w:rsidRPr="00336F48">
        <w:rPr>
          <w:i/>
          <w:iCs/>
        </w:rPr>
        <w:t xml:space="preserve">54% </w:t>
      </w:r>
      <w:r w:rsidRPr="00336F48">
        <w:rPr>
          <w:iCs/>
        </w:rPr>
        <w:t>до</w:t>
      </w:r>
      <w:r w:rsidRPr="00336F48">
        <w:rPr>
          <w:i/>
          <w:iCs/>
        </w:rPr>
        <w:t xml:space="preserve"> 60%</w:t>
      </w:r>
      <w:r w:rsidRPr="00336F48">
        <w:rPr>
          <w:iCs/>
        </w:rPr>
        <w:t xml:space="preserve"> </w:t>
      </w:r>
      <w:r w:rsidRPr="00336F48">
        <w:t>д</w:t>
      </w:r>
      <w:r w:rsidRPr="00336F48">
        <w:rPr>
          <w:iCs/>
        </w:rPr>
        <w:t>ля</w:t>
      </w:r>
      <w:r w:rsidRPr="00336F48">
        <w:t xml:space="preserve"> </w:t>
      </w:r>
      <w:r w:rsidRPr="00336F48">
        <w:rPr>
          <w:i/>
          <w:iCs/>
          <w:lang w:val="en-US"/>
        </w:rPr>
        <w:t>D</w:t>
      </w:r>
      <w:r w:rsidRPr="00336F48">
        <w:rPr>
          <w:i/>
          <w:iCs/>
          <w:vertAlign w:val="superscript"/>
        </w:rPr>
        <w:t>0</w:t>
      </w:r>
      <w:r w:rsidRPr="00336F48">
        <w:t xml:space="preserve"> – пучка. В зависимости от выбранного рабочего значения доли трития в плазме дивертора выбирается возможная (допустимая) ча</w:t>
      </w:r>
      <w:bookmarkEnd w:id="0"/>
      <w:r w:rsidRPr="00DD114F">
        <w:t xml:space="preserve">стота (поток) инжекции пеллет </w:t>
      </w:r>
      <w:r w:rsidRPr="00DD114F">
        <w:rPr>
          <w:i/>
          <w:lang w:val="en-US"/>
        </w:rPr>
        <w:t>D</w:t>
      </w:r>
      <w:r w:rsidRPr="00DD114F">
        <w:rPr>
          <w:i/>
          <w:vertAlign w:val="subscript"/>
        </w:rPr>
        <w:t>2</w:t>
      </w:r>
      <w:r w:rsidRPr="00DD114F">
        <w:t xml:space="preserve"> со стороны слабого магнитного поля (от </w:t>
      </w:r>
      <w:r w:rsidRPr="00DD114F">
        <w:rPr>
          <w:i/>
        </w:rPr>
        <w:t>5 Гц</w:t>
      </w:r>
      <w:r w:rsidRPr="00DD114F">
        <w:t xml:space="preserve"> до </w:t>
      </w:r>
      <w:r w:rsidRPr="00DD114F">
        <w:rPr>
          <w:i/>
        </w:rPr>
        <w:t>110 Гц</w:t>
      </w:r>
      <w:r w:rsidRPr="00DD114F">
        <w:t>). Получено значение общего содержания трити</w:t>
      </w:r>
      <w:r>
        <w:t>я на установке от 850 до 1150 г</w:t>
      </w:r>
      <w:r w:rsidRPr="0075377F">
        <w:t>.</w:t>
      </w:r>
    </w:p>
    <w:p w:rsidR="00535217" w:rsidRDefault="00535217" w:rsidP="00535217">
      <w:pPr>
        <w:pStyle w:val="Zv-bodyreport"/>
      </w:pPr>
      <w:r w:rsidRPr="001D3B89">
        <w:t>Работа частично поддержана Российским научным фондом (№ 18-72-10162)</w:t>
      </w:r>
      <w:r>
        <w:t>.</w:t>
      </w:r>
    </w:p>
    <w:p w:rsidR="00535217" w:rsidRDefault="00535217" w:rsidP="00535217">
      <w:pPr>
        <w:pStyle w:val="Zv-TitleReferences-ru"/>
      </w:pPr>
      <w:r>
        <w:t>Литература</w:t>
      </w:r>
    </w:p>
    <w:p w:rsidR="00535217" w:rsidRPr="001D3B89" w:rsidRDefault="00535217" w:rsidP="00535217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B.</w:t>
      </w:r>
      <w:r w:rsidRPr="001D3B89">
        <w:rPr>
          <w:lang w:val="en-US"/>
        </w:rPr>
        <w:t>V. Kuteev, Yu</w:t>
      </w:r>
      <w:r>
        <w:rPr>
          <w:lang w:val="en-US"/>
        </w:rPr>
        <w:t>.</w:t>
      </w:r>
      <w:r w:rsidRPr="001D3B89">
        <w:rPr>
          <w:lang w:val="en-US"/>
        </w:rPr>
        <w:t>S. Shpanskiy, and DEMO-FNS project team, Nucl. Fusion, 59, 076014 (2019); https://doi.org/10.1088/1741-4326/ab14a8.</w:t>
      </w:r>
    </w:p>
    <w:p w:rsidR="00535217" w:rsidRPr="001D3B89" w:rsidRDefault="00535217" w:rsidP="00535217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S.S. Ananyev, A.V. Spitsyn, and B.</w:t>
      </w:r>
      <w:r w:rsidRPr="001D3B89">
        <w:rPr>
          <w:lang w:val="en-US"/>
        </w:rPr>
        <w:t>V. Kuteev, Fusion Eng. Des., 138, 289 (2019), https://doi.org/10.1016/j.fusengdes.2018.12.003.</w:t>
      </w:r>
    </w:p>
    <w:p w:rsidR="00535217" w:rsidRPr="001D3B89" w:rsidRDefault="00535217" w:rsidP="00535217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A.</w:t>
      </w:r>
      <w:r w:rsidRPr="001D3B89">
        <w:rPr>
          <w:lang w:val="en-US"/>
        </w:rPr>
        <w:t>Yu. Dnestrovskiy et al., Nucl. Fusion, 59, 096053 (2019); https://doi.org/10.1088/1741-4326/ab3075</w:t>
      </w:r>
    </w:p>
    <w:p w:rsidR="00535217" w:rsidRPr="001D3B89" w:rsidRDefault="00535217" w:rsidP="00535217">
      <w:pPr>
        <w:pStyle w:val="Zv-References-ru"/>
        <w:numPr>
          <w:ilvl w:val="0"/>
          <w:numId w:val="1"/>
        </w:numPr>
        <w:rPr>
          <w:lang w:val="en-US"/>
        </w:rPr>
      </w:pPr>
      <w:r w:rsidRPr="001D3B89">
        <w:rPr>
          <w:lang w:val="en-US"/>
        </w:rPr>
        <w:t>S.S. Ananyev, A.Yu. Dnestrovskij, A.S. Kukushkin, A.V. Spitsyn, B.V. Kuteev, Fusion Engineering and Design 155 (2020) 111562, https://doi.org/10.1016/j.fusengdes.2020.111562</w:t>
      </w:r>
    </w:p>
    <w:p w:rsidR="00535217" w:rsidRPr="001D3B89" w:rsidRDefault="00535217" w:rsidP="00535217">
      <w:pPr>
        <w:pStyle w:val="Zv-References-ru"/>
        <w:numPr>
          <w:ilvl w:val="0"/>
          <w:numId w:val="1"/>
        </w:numPr>
        <w:rPr>
          <w:lang w:val="en-US"/>
        </w:rPr>
      </w:pPr>
      <w:r w:rsidRPr="001D3B89">
        <w:rPr>
          <w:lang w:val="en-US"/>
        </w:rPr>
        <w:t xml:space="preserve">S.S. Ananyev, B.V. Ivanov, B.V. Kuteev, Fusion Engineering and Design 161 (2020) 111940, </w:t>
      </w:r>
      <w:r w:rsidRPr="001D3B89">
        <w:rPr>
          <w:rFonts w:hint="eastAsia"/>
          <w:lang w:val="en-US"/>
        </w:rPr>
        <w:t>https://doi.org/10.1016/j.fusengdes.2020.111940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863" w:rsidRDefault="00473863">
      <w:r>
        <w:separator/>
      </w:r>
    </w:p>
  </w:endnote>
  <w:endnote w:type="continuationSeparator" w:id="0">
    <w:p w:rsidR="00473863" w:rsidRDefault="00473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F285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F285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02B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863" w:rsidRDefault="00473863">
      <w:r>
        <w:separator/>
      </w:r>
    </w:p>
  </w:footnote>
  <w:footnote w:type="continuationSeparator" w:id="0">
    <w:p w:rsidR="00473863" w:rsidRDefault="00473863">
      <w:r>
        <w:continuationSeparator/>
      </w:r>
    </w:p>
  </w:footnote>
  <w:footnote w:id="1">
    <w:p w:rsidR="00EA7BC0" w:rsidRPr="00EA7BC0" w:rsidRDefault="00EA7BC0">
      <w:pPr>
        <w:pStyle w:val="a8"/>
        <w:rPr>
          <w:sz w:val="22"/>
          <w:szCs w:val="22"/>
          <w:lang w:val="en-US"/>
        </w:rPr>
      </w:pPr>
      <w:r w:rsidRPr="00EA7BC0">
        <w:rPr>
          <w:rStyle w:val="aa"/>
          <w:sz w:val="22"/>
          <w:szCs w:val="22"/>
        </w:rPr>
        <w:t>*)</w:t>
      </w:r>
      <w:r w:rsidRPr="00EA7BC0">
        <w:rPr>
          <w:sz w:val="22"/>
          <w:szCs w:val="22"/>
        </w:rPr>
        <w:t xml:space="preserve"> </w:t>
      </w:r>
      <w:hyperlink r:id="rId1" w:history="1">
        <w:r w:rsidRPr="00EA7BC0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0F285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3863"/>
    <w:rsid w:val="00037DCC"/>
    <w:rsid w:val="00043701"/>
    <w:rsid w:val="000C7078"/>
    <w:rsid w:val="000D76E9"/>
    <w:rsid w:val="000E495B"/>
    <w:rsid w:val="000F28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73863"/>
    <w:rsid w:val="004A77D1"/>
    <w:rsid w:val="004B72AA"/>
    <w:rsid w:val="004F4E29"/>
    <w:rsid w:val="0052587E"/>
    <w:rsid w:val="00535217"/>
    <w:rsid w:val="00567C6F"/>
    <w:rsid w:val="00572013"/>
    <w:rsid w:val="0058676C"/>
    <w:rsid w:val="00617E8E"/>
    <w:rsid w:val="006479DB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9D02B2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A7BC0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35217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EA7BC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A7BC0"/>
  </w:style>
  <w:style w:type="character" w:styleId="aa">
    <w:name w:val="footnote reference"/>
    <w:basedOn w:val="a0"/>
    <w:rsid w:val="00EA7B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nyev_SS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AD-Dnestrovskiy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0C48D-64AF-4FCB-AADD-4AD97A28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4</TotalTime>
  <Pages>1</Pages>
  <Words>352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СОВМЕСТНОЕ МОДЕЛИРОВАНИЕ ТОПЛИВНЫХ ПОТОКОВ В ПЛАЗМЕ И В СИСТЕМАХ ИНЖЕКЦИИ И ОТКАЧКИ ДЕМО-ТИН</dc:title>
  <dc:creator/>
  <cp:lastModifiedBy>Сатунин</cp:lastModifiedBy>
  <cp:revision>3</cp:revision>
  <cp:lastPrinted>1601-01-01T00:00:00Z</cp:lastPrinted>
  <dcterms:created xsi:type="dcterms:W3CDTF">2021-01-19T11:11:00Z</dcterms:created>
  <dcterms:modified xsi:type="dcterms:W3CDTF">2021-05-21T11:03:00Z</dcterms:modified>
</cp:coreProperties>
</file>