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C9" w:rsidRPr="00D51B48" w:rsidRDefault="006D1439" w:rsidP="009C35C9">
      <w:pPr>
        <w:pStyle w:val="Zv-Titlereport"/>
        <w:rPr>
          <w:lang w:val="en-US"/>
        </w:rPr>
      </w:pPr>
      <w:r w:rsidRPr="006D1439">
        <w:rPr>
          <w:noProof/>
          <w:lang w:val="en-US"/>
        </w:rPr>
        <w:pict>
          <v:shapetype id="_x0000_t202" coordsize="21600,21600" o:spt="202" path="m,l,21600r21600,l21600,xe">
            <v:stroke joinstyle="miter"/>
            <v:path gradientshapeok="t" o:connecttype="rect"/>
          </v:shapetype>
          <v:shape id="_x0000_s1029" type="#_x0000_t202" style="position:absolute;left:0;text-align:left;margin-left:-2.85pt;margin-top:-24.4pt;width:192pt;height:26.25pt;z-index:-251658752;mso-position-horizontal:absolute" stroked="f" strokecolor="red">
            <v:textbox style="mso-next-textbox:#_x0000_s1029">
              <w:txbxContent>
                <w:p w:rsidR="00645D93" w:rsidRPr="0095603D" w:rsidRDefault="00645D93" w:rsidP="003B6459">
                  <w:pPr>
                    <w:spacing w:before="80"/>
                    <w:rPr>
                      <w:sz w:val="22"/>
                      <w:szCs w:val="22"/>
                    </w:rPr>
                  </w:pPr>
                  <w:r w:rsidRPr="0095603D">
                    <w:rPr>
                      <w:sz w:val="22"/>
                      <w:szCs w:val="22"/>
                    </w:rPr>
                    <w:t>DOI:</w:t>
                  </w:r>
                  <w:r>
                    <w:rPr>
                      <w:sz w:val="22"/>
                      <w:szCs w:val="22"/>
                    </w:rPr>
                    <w:t xml:space="preserve"> </w:t>
                  </w:r>
                  <w:r w:rsidRPr="00645D93">
                    <w:rPr>
                      <w:sz w:val="22"/>
                      <w:szCs w:val="22"/>
                    </w:rPr>
                    <w:t>10.34854/ICPAF.2021.48.1.099</w:t>
                  </w:r>
                </w:p>
              </w:txbxContent>
            </v:textbox>
            <w10:anchorlock/>
          </v:shape>
        </w:pict>
      </w:r>
      <w:r w:rsidR="009C35C9">
        <w:t xml:space="preserve">Regularities in filling procedure of electron shells </w:t>
      </w:r>
      <w:r w:rsidR="009C35C9">
        <w:br/>
        <w:t>in transition metals</w:t>
      </w:r>
      <w:r w:rsidR="00645D93">
        <w:rPr>
          <w:rStyle w:val="ad"/>
        </w:rPr>
        <w:footnoteReference w:customMarkFollows="1" w:id="1"/>
        <w:t>*)</w:t>
      </w:r>
    </w:p>
    <w:p w:rsidR="009C35C9" w:rsidRDefault="009C35C9" w:rsidP="009C35C9">
      <w:pPr>
        <w:pStyle w:val="Zv-Author"/>
        <w:rPr>
          <w:lang w:val="en-US"/>
        </w:rPr>
      </w:pPr>
      <w:r>
        <w:rPr>
          <w:lang w:val="en-US"/>
        </w:rPr>
        <w:t>G.V. Shpatakovsaya</w:t>
      </w:r>
    </w:p>
    <w:p w:rsidR="009C35C9" w:rsidRDefault="009C35C9" w:rsidP="009C35C9">
      <w:pPr>
        <w:pStyle w:val="Zv-Organization"/>
        <w:rPr>
          <w:i w:val="0"/>
          <w:lang w:val="en-US"/>
        </w:rPr>
      </w:pPr>
      <w:r>
        <w:rPr>
          <w:lang w:val="en-US"/>
        </w:rPr>
        <w:t xml:space="preserve">KIAM RAS, RF, Moscow, </w:t>
      </w:r>
      <w:hyperlink r:id="rId8" w:history="1">
        <w:r w:rsidRPr="00B80AF8">
          <w:rPr>
            <w:rStyle w:val="a7"/>
            <w:lang w:val="en-US"/>
          </w:rPr>
          <w:t>shpagalya@yandex.ru</w:t>
        </w:r>
      </w:hyperlink>
    </w:p>
    <w:p w:rsidR="009C35C9" w:rsidRDefault="009C35C9" w:rsidP="009C35C9">
      <w:pPr>
        <w:pStyle w:val="Zv-bodyreport"/>
      </w:pPr>
      <w:r>
        <w:t xml:space="preserve">Experimental [1], [2] and theoretical [3] data on electronic energies </w:t>
      </w:r>
      <w:r w:rsidRPr="009B4373">
        <w:rPr>
          <w:position w:val="-16"/>
        </w:rPr>
        <w:object w:dxaOrig="5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4pt" o:ole="">
            <v:imagedata r:id="rId9" o:title=""/>
          </v:shape>
          <o:OLEObject Type="Embed" ProgID="Equation.3" ShapeID="_x0000_i1025" DrawAspect="Content" ObjectID="_1683977940" r:id="rId10"/>
        </w:object>
      </w:r>
      <w:r>
        <w:t xml:space="preserve"> in the ground state of atoms in three groups of transition metals, iron (n = 3), palladium (n = 4), platinum (n = 5), are considered in special reduced coordinates [4]:</w:t>
      </w:r>
    </w:p>
    <w:p w:rsidR="009C35C9" w:rsidRPr="00B80AF8" w:rsidRDefault="009C35C9" w:rsidP="009C35C9">
      <w:pPr>
        <w:jc w:val="center"/>
        <w:rPr>
          <w:lang w:val="en-US"/>
        </w:rPr>
      </w:pPr>
      <w:r w:rsidRPr="008B470E">
        <w:rPr>
          <w:position w:val="-16"/>
        </w:rPr>
        <w:object w:dxaOrig="7520" w:dyaOrig="480">
          <v:shape id="_x0000_i1026" type="#_x0000_t75" style="width:351pt;height:21.75pt" o:ole="">
            <v:imagedata r:id="rId11" o:title=""/>
          </v:shape>
          <o:OLEObject Type="Embed" ProgID="Equation.3" ShapeID="_x0000_i1026" DrawAspect="Content" ObjectID="_1683977941" r:id="rId12"/>
        </w:object>
      </w:r>
      <w:r w:rsidRPr="00B80AF8">
        <w:rPr>
          <w:lang w:val="en-US"/>
        </w:rPr>
        <w:t>,</w:t>
      </w:r>
    </w:p>
    <w:p w:rsidR="009C35C9" w:rsidRDefault="009C35C9" w:rsidP="009C35C9">
      <w:pPr>
        <w:pStyle w:val="Zv-bodyreportcont"/>
      </w:pPr>
      <w:r>
        <w:t xml:space="preserve">where Z is the atomic number of the element, </w:t>
      </w:r>
      <w:r w:rsidRPr="009E54F4">
        <w:rPr>
          <w:lang w:val="en-US"/>
        </w:rPr>
        <w:t>n, l, j = l ± ½ are quantum numbers.</w:t>
      </w:r>
      <w:r>
        <w:t>.</w:t>
      </w:r>
    </w:p>
    <w:p w:rsidR="009C35C9" w:rsidRPr="00B80AF8" w:rsidRDefault="009C35C9" w:rsidP="009C35C9">
      <w:pPr>
        <w:pStyle w:val="Zv-bodyreport"/>
        <w:rPr>
          <w:lang w:val="en-US"/>
        </w:rPr>
      </w:pPr>
      <w:r>
        <w:t xml:space="preserve">There is a scatter of measurements of the binding energies </w:t>
      </w:r>
      <w:r>
        <w:rPr>
          <w:noProof/>
          <w:position w:val="-14"/>
        </w:rPr>
        <w:drawing>
          <wp:inline distT="0" distB="0" distL="0" distR="0">
            <wp:extent cx="421640" cy="2228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21640" cy="222885"/>
                    </a:xfrm>
                    <a:prstGeom prst="rect">
                      <a:avLst/>
                    </a:prstGeom>
                    <a:noFill/>
                    <a:ln w="9525">
                      <a:noFill/>
                      <a:miter lim="800000"/>
                      <a:headEnd/>
                      <a:tailEnd/>
                    </a:ln>
                  </pic:spPr>
                </pic:pic>
              </a:graphicData>
            </a:graphic>
          </wp:inline>
        </w:drawing>
      </w:r>
      <w:r>
        <w:t>in different sources and the lack of experimental data on the energies of d-states in these groups. The discrepancy between the results of measurements and calculations by the density functional method is discussed (Figs. 1a, 1b). To estimate the measurements of electronic binding energies, it is proposed to use the empirical law of similarity in atomic number [5]</w:t>
      </w:r>
      <w:r w:rsidRPr="00E97765">
        <w:rPr>
          <w:lang w:val="en-US"/>
        </w:rPr>
        <w:t xml:space="preserve"> </w:t>
      </w:r>
      <w:r>
        <w:rPr>
          <w:lang w:val="en-US"/>
        </w:rPr>
        <w:t xml:space="preserve">and </w:t>
      </w:r>
      <w:r w:rsidRPr="00E97765">
        <w:rPr>
          <w:color w:val="222222"/>
        </w:rPr>
        <w:t>polynomial approximation of functions</w:t>
      </w:r>
      <w:r>
        <w:rPr>
          <w:color w:val="222222"/>
        </w:rPr>
        <w:t xml:space="preserve"> </w:t>
      </w:r>
      <w:r w:rsidRPr="009B4373">
        <w:rPr>
          <w:position w:val="-16"/>
        </w:rPr>
        <w:object w:dxaOrig="2340" w:dyaOrig="420">
          <v:shape id="_x0000_i1027" type="#_x0000_t75" style="width:112.5pt;height:20.25pt" o:ole="">
            <v:imagedata r:id="rId14" o:title=""/>
          </v:shape>
          <o:OLEObject Type="Embed" ProgID="Equation.3" ShapeID="_x0000_i1027" DrawAspect="Content" ObjectID="_1683977942" r:id="rId15"/>
        </w:object>
      </w:r>
      <w: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35C9" w:rsidTr="00BE0CF0">
        <w:tc>
          <w:tcPr>
            <w:tcW w:w="4785" w:type="dxa"/>
          </w:tcPr>
          <w:p w:rsidR="009C35C9" w:rsidRDefault="009C35C9" w:rsidP="00BE0CF0">
            <w:pPr>
              <w:spacing w:line="276" w:lineRule="auto"/>
              <w:rPr>
                <w:rFonts w:ascii="Times New Roman" w:eastAsia="Calibri" w:hAnsi="Times New Roman"/>
                <w:sz w:val="24"/>
                <w:szCs w:val="24"/>
              </w:rPr>
            </w:pPr>
            <w:r>
              <w:rPr>
                <w:noProof/>
              </w:rPr>
              <w:drawing>
                <wp:inline distT="0" distB="0" distL="0" distR="0">
                  <wp:extent cx="3244215" cy="2878455"/>
                  <wp:effectExtent l="19050" t="0" r="0" b="0"/>
                  <wp:docPr id="5" name="Рисунок 5" descr="Pd_Ex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_Expt"/>
                          <pic:cNvPicPr>
                            <a:picLocks noChangeAspect="1" noChangeArrowheads="1"/>
                          </pic:cNvPicPr>
                        </pic:nvPicPr>
                        <pic:blipFill>
                          <a:blip r:embed="rId16" cstate="print"/>
                          <a:srcRect/>
                          <a:stretch>
                            <a:fillRect/>
                          </a:stretch>
                        </pic:blipFill>
                        <pic:spPr bwMode="auto">
                          <a:xfrm>
                            <a:off x="0" y="0"/>
                            <a:ext cx="3244215" cy="2878455"/>
                          </a:xfrm>
                          <a:prstGeom prst="rect">
                            <a:avLst/>
                          </a:prstGeom>
                          <a:noFill/>
                          <a:ln w="9525">
                            <a:noFill/>
                            <a:miter lim="800000"/>
                            <a:headEnd/>
                            <a:tailEnd/>
                          </a:ln>
                        </pic:spPr>
                      </pic:pic>
                    </a:graphicData>
                  </a:graphic>
                </wp:inline>
              </w:drawing>
            </w:r>
          </w:p>
        </w:tc>
        <w:tc>
          <w:tcPr>
            <w:tcW w:w="4786" w:type="dxa"/>
          </w:tcPr>
          <w:p w:rsidR="009C35C9" w:rsidRDefault="009C35C9" w:rsidP="00BE0CF0">
            <w:pPr>
              <w:spacing w:line="276" w:lineRule="auto"/>
              <w:rPr>
                <w:rFonts w:ascii="Times New Roman" w:eastAsia="Calibri" w:hAnsi="Times New Roman"/>
                <w:sz w:val="24"/>
                <w:szCs w:val="24"/>
              </w:rPr>
            </w:pPr>
            <w:r>
              <w:rPr>
                <w:noProof/>
              </w:rPr>
              <w:drawing>
                <wp:inline distT="0" distB="0" distL="0" distR="0">
                  <wp:extent cx="3244215" cy="2878455"/>
                  <wp:effectExtent l="19050" t="0" r="0" b="0"/>
                  <wp:docPr id="6" name="Рисунок 6" descr="Pd_R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_RLDA"/>
                          <pic:cNvPicPr>
                            <a:picLocks noChangeAspect="1" noChangeArrowheads="1"/>
                          </pic:cNvPicPr>
                        </pic:nvPicPr>
                        <pic:blipFill>
                          <a:blip r:embed="rId17" cstate="print"/>
                          <a:srcRect/>
                          <a:stretch>
                            <a:fillRect/>
                          </a:stretch>
                        </pic:blipFill>
                        <pic:spPr bwMode="auto">
                          <a:xfrm>
                            <a:off x="0" y="0"/>
                            <a:ext cx="3244215" cy="2878455"/>
                          </a:xfrm>
                          <a:prstGeom prst="rect">
                            <a:avLst/>
                          </a:prstGeom>
                          <a:noFill/>
                          <a:ln w="9525">
                            <a:noFill/>
                            <a:miter lim="800000"/>
                            <a:headEnd/>
                            <a:tailEnd/>
                          </a:ln>
                        </pic:spPr>
                      </pic:pic>
                    </a:graphicData>
                  </a:graphic>
                </wp:inline>
              </w:drawing>
            </w:r>
          </w:p>
        </w:tc>
      </w:tr>
      <w:tr w:rsidR="009C35C9" w:rsidRPr="00D72AA7" w:rsidTr="00BE0CF0">
        <w:tc>
          <w:tcPr>
            <w:tcW w:w="4785" w:type="dxa"/>
          </w:tcPr>
          <w:p w:rsidR="009C35C9" w:rsidRPr="00D72AA7" w:rsidRDefault="009C35C9" w:rsidP="00BE0CF0">
            <w:pPr>
              <w:pStyle w:val="Zv-bodyreportcont"/>
              <w:jc w:val="center"/>
              <w:rPr>
                <w:rFonts w:ascii="Times New Roman" w:hAnsi="Times New Roman"/>
                <w:sz w:val="24"/>
                <w:szCs w:val="24"/>
                <w:lang w:val="en-US"/>
              </w:rPr>
            </w:pPr>
            <w:r w:rsidRPr="00D72AA7">
              <w:rPr>
                <w:rFonts w:ascii="Times New Roman" w:hAnsi="Times New Roman"/>
                <w:sz w:val="24"/>
                <w:szCs w:val="24"/>
              </w:rPr>
              <w:t>Fig.1a Experimental dependence according to data from databases [1], [2]</w:t>
            </w:r>
          </w:p>
          <w:p w:rsidR="009C35C9" w:rsidRPr="00D72AA7" w:rsidRDefault="009C35C9" w:rsidP="00BE0CF0">
            <w:pPr>
              <w:spacing w:line="276" w:lineRule="auto"/>
              <w:jc w:val="center"/>
              <w:rPr>
                <w:rFonts w:ascii="Times New Roman" w:eastAsia="Calibri" w:hAnsi="Times New Roman"/>
                <w:sz w:val="24"/>
                <w:szCs w:val="24"/>
                <w:lang w:val="en-US"/>
              </w:rPr>
            </w:pPr>
          </w:p>
        </w:tc>
        <w:tc>
          <w:tcPr>
            <w:tcW w:w="4786" w:type="dxa"/>
          </w:tcPr>
          <w:p w:rsidR="009C35C9" w:rsidRPr="00D72AA7" w:rsidRDefault="009C35C9" w:rsidP="00BE0CF0">
            <w:pPr>
              <w:pStyle w:val="Zv-bodyreport"/>
              <w:jc w:val="center"/>
              <w:rPr>
                <w:rFonts w:ascii="Times New Roman" w:hAnsi="Times New Roman"/>
                <w:sz w:val="24"/>
                <w:szCs w:val="24"/>
                <w:lang w:val="en-US"/>
              </w:rPr>
            </w:pPr>
            <w:r w:rsidRPr="00D72AA7">
              <w:rPr>
                <w:rFonts w:ascii="Times New Roman" w:hAnsi="Times New Roman"/>
                <w:sz w:val="24"/>
                <w:szCs w:val="24"/>
              </w:rPr>
              <w:t>Fig.1b Calculation by the relativistic model of the local density functional RLDA [3]</w:t>
            </w:r>
          </w:p>
          <w:p w:rsidR="009C35C9" w:rsidRPr="00D72AA7" w:rsidRDefault="009C35C9" w:rsidP="00BE0CF0">
            <w:pPr>
              <w:spacing w:line="276" w:lineRule="auto"/>
              <w:jc w:val="center"/>
              <w:rPr>
                <w:rFonts w:ascii="Times New Roman" w:eastAsia="Calibri" w:hAnsi="Times New Roman"/>
                <w:sz w:val="24"/>
                <w:szCs w:val="24"/>
                <w:lang w:val="en-US"/>
              </w:rPr>
            </w:pPr>
          </w:p>
        </w:tc>
      </w:tr>
    </w:tbl>
    <w:p w:rsidR="009C35C9" w:rsidRDefault="009C35C9" w:rsidP="009C35C9">
      <w:pPr>
        <w:pStyle w:val="Zv-TitleReferences-en"/>
        <w:rPr>
          <w:lang w:val="en-US"/>
        </w:rPr>
      </w:pPr>
      <w:r>
        <w:rPr>
          <w:lang w:val="en-US"/>
        </w:rPr>
        <w:t>References</w:t>
      </w:r>
    </w:p>
    <w:p w:rsidR="009C35C9" w:rsidRDefault="009C35C9" w:rsidP="009C35C9">
      <w:pPr>
        <w:pStyle w:val="Zv-References-ru"/>
        <w:numPr>
          <w:ilvl w:val="0"/>
          <w:numId w:val="8"/>
        </w:numPr>
        <w:rPr>
          <w:lang w:val="en-US"/>
        </w:rPr>
      </w:pPr>
      <w:r>
        <w:rPr>
          <w:lang w:val="en-US"/>
        </w:rPr>
        <w:t xml:space="preserve">A.Tompson et al, X-RAY DATA BOOKLET, Center for X-ray Optics and Advanced Light Source (Lawrence Berkeley National Laboratory, update October 2009). </w:t>
      </w:r>
      <w:hyperlink r:id="rId18" w:history="1">
        <w:r>
          <w:rPr>
            <w:rStyle w:val="a7"/>
            <w:szCs w:val="24"/>
            <w:lang w:val="en-US" w:eastAsia="ru-RU"/>
          </w:rPr>
          <w:t>http://xdb.lbl.gov/</w:t>
        </w:r>
      </w:hyperlink>
    </w:p>
    <w:p w:rsidR="009C35C9" w:rsidRDefault="009C35C9" w:rsidP="009C35C9">
      <w:pPr>
        <w:pStyle w:val="Zv-References-ru"/>
        <w:numPr>
          <w:ilvl w:val="0"/>
          <w:numId w:val="1"/>
        </w:numPr>
        <w:rPr>
          <w:lang w:val="en-US"/>
        </w:rPr>
      </w:pPr>
      <w:r>
        <w:rPr>
          <w:lang w:val="en-US"/>
        </w:rPr>
        <w:t xml:space="preserve">Kramida, A., Ralchenko, Yu., Reader, J., and NIST ASD Team (2019). NIST Atomic Spectra Database (ver. 5.7.1): </w:t>
      </w:r>
      <w:hyperlink r:id="rId19" w:history="1">
        <w:r>
          <w:rPr>
            <w:rStyle w:val="a7"/>
            <w:szCs w:val="24"/>
            <w:lang w:val="en-US" w:eastAsia="ru-RU"/>
          </w:rPr>
          <w:t>https://physics.nist.gov/asd</w:t>
        </w:r>
      </w:hyperlink>
    </w:p>
    <w:p w:rsidR="009C35C9" w:rsidRPr="005E6630" w:rsidRDefault="009C35C9" w:rsidP="009C35C9">
      <w:pPr>
        <w:pStyle w:val="Zv-References-ru"/>
        <w:numPr>
          <w:ilvl w:val="0"/>
          <w:numId w:val="1"/>
        </w:numPr>
      </w:pPr>
      <w:r>
        <w:rPr>
          <w:lang w:val="en-US"/>
        </w:rPr>
        <w:t xml:space="preserve">S.Kotochigova, Z.H.Levine, E.L.Shirley, M.D.Stiles, and  Ch.W.~Clark, Atomic Reference Data for Electronic Structure Calculations. </w:t>
      </w:r>
      <w:hyperlink r:id="rId20" w:history="1">
        <w:r>
          <w:rPr>
            <w:rStyle w:val="a7"/>
            <w:szCs w:val="24"/>
            <w:lang w:val="en-US" w:eastAsia="ru-RU"/>
          </w:rPr>
          <w:t>http://www.nist.gov/pml/data/dftdata/index.cfm</w:t>
        </w:r>
      </w:hyperlink>
    </w:p>
    <w:p w:rsidR="009C35C9" w:rsidRPr="00E54448" w:rsidRDefault="009C35C9" w:rsidP="009C35C9">
      <w:pPr>
        <w:pStyle w:val="Zv-References-ru"/>
        <w:numPr>
          <w:ilvl w:val="0"/>
          <w:numId w:val="1"/>
        </w:numPr>
        <w:rPr>
          <w:lang w:val="en-US"/>
        </w:rPr>
      </w:pPr>
      <w:r w:rsidRPr="00E54448">
        <w:rPr>
          <w:lang w:val="en-US"/>
        </w:rPr>
        <w:t xml:space="preserve">G.V. Shpatakovskaya,  </w:t>
      </w:r>
      <w:r w:rsidRPr="00E54448">
        <w:rPr>
          <w:i/>
          <w:lang w:val="en-US"/>
        </w:rPr>
        <w:t>Phys. Usp</w:t>
      </w:r>
      <w:r w:rsidRPr="00E54448">
        <w:rPr>
          <w:lang w:val="en-US"/>
        </w:rPr>
        <w:t xml:space="preserve">. </w:t>
      </w:r>
      <w:r w:rsidRPr="00E54448">
        <w:rPr>
          <w:b/>
          <w:lang w:val="en-US"/>
        </w:rPr>
        <w:t>62</w:t>
      </w:r>
      <w:r w:rsidRPr="00E54448">
        <w:rPr>
          <w:lang w:val="en-US"/>
        </w:rPr>
        <w:t xml:space="preserve"> 186 (2019)</w:t>
      </w:r>
      <w:r>
        <w:rPr>
          <w:lang w:val="en-US"/>
        </w:rPr>
        <w:t xml:space="preserve"> </w:t>
      </w:r>
    </w:p>
    <w:p w:rsidR="009C35C9" w:rsidRPr="00E54448" w:rsidRDefault="009C35C9" w:rsidP="009C35C9">
      <w:pPr>
        <w:pStyle w:val="Zv-References-ru"/>
        <w:numPr>
          <w:ilvl w:val="0"/>
          <w:numId w:val="1"/>
        </w:numPr>
        <w:rPr>
          <w:lang w:val="en-US"/>
        </w:rPr>
      </w:pPr>
      <w:r>
        <w:rPr>
          <w:lang w:val="en-US"/>
        </w:rPr>
        <w:t xml:space="preserve">G.V. Shpatakovskaya  </w:t>
      </w:r>
      <w:r>
        <w:rPr>
          <w:i/>
          <w:lang w:val="en-US"/>
        </w:rPr>
        <w:t xml:space="preserve">JETP, </w:t>
      </w:r>
      <w:r w:rsidRPr="00E54448">
        <w:rPr>
          <w:b/>
          <w:lang w:val="en-US"/>
        </w:rPr>
        <w:t>1</w:t>
      </w:r>
      <w:r>
        <w:rPr>
          <w:b/>
          <w:lang w:val="en-US"/>
        </w:rPr>
        <w:t>31</w:t>
      </w:r>
      <w:r w:rsidRPr="00E54448">
        <w:rPr>
          <w:lang w:val="en-US"/>
        </w:rPr>
        <w:t xml:space="preserve">, </w:t>
      </w:r>
      <w:r>
        <w:rPr>
          <w:lang w:val="en-US"/>
        </w:rPr>
        <w:t>385</w:t>
      </w:r>
      <w:r w:rsidRPr="00E54448">
        <w:rPr>
          <w:lang w:val="en-US"/>
        </w:rPr>
        <w:t xml:space="preserve"> (2020)</w:t>
      </w:r>
    </w:p>
    <w:sectPr w:rsidR="009C35C9" w:rsidRPr="00E54448" w:rsidSect="00F95123">
      <w:headerReference w:type="default" r:id="rId21"/>
      <w:footerReference w:type="even" r:id="rId22"/>
      <w:footerReference w:type="default" r:id="rId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91" w:rsidRDefault="00004791">
      <w:r>
        <w:separator/>
      </w:r>
    </w:p>
  </w:endnote>
  <w:endnote w:type="continuationSeparator" w:id="0">
    <w:p w:rsidR="00004791" w:rsidRDefault="0000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D14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D14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C6F3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91" w:rsidRDefault="00004791">
      <w:r>
        <w:separator/>
      </w:r>
    </w:p>
  </w:footnote>
  <w:footnote w:type="continuationSeparator" w:id="0">
    <w:p w:rsidR="00004791" w:rsidRDefault="00004791">
      <w:r>
        <w:continuationSeparator/>
      </w:r>
    </w:p>
  </w:footnote>
  <w:footnote w:id="1">
    <w:p w:rsidR="00645D93" w:rsidRPr="00645D93" w:rsidRDefault="00645D93">
      <w:pPr>
        <w:pStyle w:val="ab"/>
        <w:rPr>
          <w:sz w:val="22"/>
          <w:szCs w:val="22"/>
        </w:rPr>
      </w:pPr>
      <w:r w:rsidRPr="00645D93">
        <w:rPr>
          <w:rStyle w:val="ad"/>
          <w:sz w:val="22"/>
          <w:szCs w:val="22"/>
        </w:rPr>
        <w:t>*)</w:t>
      </w:r>
      <w:r w:rsidRPr="00645D93">
        <w:rPr>
          <w:sz w:val="22"/>
          <w:szCs w:val="22"/>
        </w:rPr>
        <w:t xml:space="preserve"> </w:t>
      </w:r>
      <w:hyperlink r:id="rId1" w:history="1">
        <w:r w:rsidRPr="00645D93">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6D143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04791"/>
    <w:rsid w:val="00004791"/>
    <w:rsid w:val="00043701"/>
    <w:rsid w:val="000C657D"/>
    <w:rsid w:val="000C7078"/>
    <w:rsid w:val="000D76E9"/>
    <w:rsid w:val="000E495B"/>
    <w:rsid w:val="001C0CCB"/>
    <w:rsid w:val="00205708"/>
    <w:rsid w:val="00220629"/>
    <w:rsid w:val="0023083F"/>
    <w:rsid w:val="00231BC3"/>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45D93"/>
    <w:rsid w:val="00654A7B"/>
    <w:rsid w:val="0067774C"/>
    <w:rsid w:val="006B5B24"/>
    <w:rsid w:val="006D1439"/>
    <w:rsid w:val="00732A2E"/>
    <w:rsid w:val="007B09C9"/>
    <w:rsid w:val="007B6378"/>
    <w:rsid w:val="007E06CE"/>
    <w:rsid w:val="00802D35"/>
    <w:rsid w:val="008306AF"/>
    <w:rsid w:val="008520F9"/>
    <w:rsid w:val="008850EF"/>
    <w:rsid w:val="008B470E"/>
    <w:rsid w:val="00906FF7"/>
    <w:rsid w:val="009C35C9"/>
    <w:rsid w:val="009D3AC4"/>
    <w:rsid w:val="00AE6185"/>
    <w:rsid w:val="00B622ED"/>
    <w:rsid w:val="00B9584E"/>
    <w:rsid w:val="00C103CD"/>
    <w:rsid w:val="00C232A0"/>
    <w:rsid w:val="00C5751F"/>
    <w:rsid w:val="00D47F19"/>
    <w:rsid w:val="00D900FB"/>
    <w:rsid w:val="00D92E54"/>
    <w:rsid w:val="00E118BE"/>
    <w:rsid w:val="00E25682"/>
    <w:rsid w:val="00E7021A"/>
    <w:rsid w:val="00E87733"/>
    <w:rsid w:val="00EE371E"/>
    <w:rsid w:val="00EF07A9"/>
    <w:rsid w:val="00F722F5"/>
    <w:rsid w:val="00F74399"/>
    <w:rsid w:val="00F95123"/>
    <w:rsid w:val="00FC6F3B"/>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C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C35C9"/>
    <w:rPr>
      <w:color w:val="0000FF"/>
      <w:u w:val="single"/>
    </w:rPr>
  </w:style>
  <w:style w:type="table" w:styleId="a8">
    <w:name w:val="Table Grid"/>
    <w:basedOn w:val="a1"/>
    <w:rsid w:val="009C35C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v-Organization0">
    <w:name w:val="Zv-Organization Знак"/>
    <w:basedOn w:val="a0"/>
    <w:link w:val="Zv-Organization"/>
    <w:locked/>
    <w:rsid w:val="009C35C9"/>
    <w:rPr>
      <w:i/>
      <w:sz w:val="24"/>
    </w:rPr>
  </w:style>
  <w:style w:type="paragraph" w:styleId="a9">
    <w:name w:val="Balloon Text"/>
    <w:basedOn w:val="a"/>
    <w:link w:val="aa"/>
    <w:rsid w:val="009C35C9"/>
    <w:rPr>
      <w:rFonts w:ascii="Tahoma" w:hAnsi="Tahoma" w:cs="Tahoma"/>
      <w:sz w:val="16"/>
      <w:szCs w:val="16"/>
    </w:rPr>
  </w:style>
  <w:style w:type="character" w:customStyle="1" w:styleId="aa">
    <w:name w:val="Текст выноски Знак"/>
    <w:basedOn w:val="a0"/>
    <w:link w:val="a9"/>
    <w:rsid w:val="009C35C9"/>
    <w:rPr>
      <w:rFonts w:ascii="Tahoma" w:hAnsi="Tahoma" w:cs="Tahoma"/>
      <w:sz w:val="16"/>
      <w:szCs w:val="16"/>
    </w:rPr>
  </w:style>
  <w:style w:type="paragraph" w:styleId="ab">
    <w:name w:val="footnote text"/>
    <w:basedOn w:val="a"/>
    <w:link w:val="ac"/>
    <w:rsid w:val="00645D93"/>
    <w:rPr>
      <w:sz w:val="20"/>
      <w:szCs w:val="20"/>
    </w:rPr>
  </w:style>
  <w:style w:type="character" w:customStyle="1" w:styleId="ac">
    <w:name w:val="Текст сноски Знак"/>
    <w:basedOn w:val="a0"/>
    <w:link w:val="ab"/>
    <w:rsid w:val="00645D93"/>
  </w:style>
  <w:style w:type="character" w:styleId="ad">
    <w:name w:val="footnote reference"/>
    <w:basedOn w:val="a0"/>
    <w:rsid w:val="00645D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pagalya@yandex.ru" TargetMode="External"/><Relationship Id="rId13" Type="http://schemas.openxmlformats.org/officeDocument/2006/relationships/image" Target="media/image3.png"/><Relationship Id="rId18" Type="http://schemas.openxmlformats.org/officeDocument/2006/relationships/hyperlink" Target="http://xdb.lbl.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nist.gov/pml/data/dftdata/index.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physics.nist.gov/asd"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B-Shpatakovskay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98C6A-A05D-4320-888C-D6A6F8BF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248</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REGULARITIES IN FILLING PROCEDURE OF ELECTRON SHELLS IN TRANSITION METALS</dc:title>
  <dc:creator/>
  <cp:lastModifiedBy>Сатунин</cp:lastModifiedBy>
  <cp:revision>4</cp:revision>
  <cp:lastPrinted>1601-01-01T00:00:00Z</cp:lastPrinted>
  <dcterms:created xsi:type="dcterms:W3CDTF">2021-01-20T17:01:00Z</dcterms:created>
  <dcterms:modified xsi:type="dcterms:W3CDTF">2021-05-31T11:52:00Z</dcterms:modified>
</cp:coreProperties>
</file>