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8" w:rsidRPr="0065745D" w:rsidRDefault="00211276" w:rsidP="00043058">
      <w:pPr>
        <w:pStyle w:val="Zv-Titlereport"/>
        <w:rPr>
          <w:bCs/>
          <w:iCs/>
          <w:lang w:val="en-US"/>
        </w:rPr>
      </w:pPr>
      <w:r w:rsidRPr="0021127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85pt;margin-top:-24.4pt;width:192pt;height:26.25pt;z-index:-251658752;mso-position-horizontal:absolute" stroked="f" strokecolor="red">
            <v:textbox style="mso-next-textbox:#_x0000_s1027">
              <w:txbxContent>
                <w:p w:rsidR="00020F9A" w:rsidRPr="0095603D" w:rsidRDefault="00020F9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20F9A">
                    <w:rPr>
                      <w:sz w:val="22"/>
                      <w:szCs w:val="22"/>
                    </w:rPr>
                    <w:t>10.34854/ICPAF.2020.47.1.054</w:t>
                  </w:r>
                </w:p>
              </w:txbxContent>
            </v:textbox>
            <w10:anchorlock/>
          </v:shape>
        </w:pict>
      </w:r>
      <w:r w:rsidR="00043058" w:rsidRPr="0065745D">
        <w:rPr>
          <w:lang w:val="en-US"/>
        </w:rPr>
        <w:t>STUDY OF ANOMALOUS TRAN</w:t>
      </w:r>
      <w:r w:rsidR="00043058">
        <w:rPr>
          <w:bCs/>
          <w:iCs/>
          <w:lang w:val="en-US"/>
        </w:rPr>
        <w:t>sport</w:t>
      </w:r>
      <w:r w:rsidR="00043058" w:rsidRPr="0065745D">
        <w:rPr>
          <w:lang w:val="en-US"/>
        </w:rPr>
        <w:t xml:space="preserve"> OF TUNGSTEN IONS IN DISCHARGES WITH ECR</w:t>
      </w:r>
      <w:r w:rsidR="00043058">
        <w:rPr>
          <w:lang w:val="en-US"/>
        </w:rPr>
        <w:t>-</w:t>
      </w:r>
      <w:r w:rsidR="00043058" w:rsidRPr="0065745D">
        <w:rPr>
          <w:lang w:val="en-US"/>
        </w:rPr>
        <w:t>HEATING ON THE T-10</w:t>
      </w:r>
      <w:r w:rsidR="00020F9A">
        <w:rPr>
          <w:lang w:val="en-US"/>
        </w:rPr>
        <w:t xml:space="preserve"> </w:t>
      </w:r>
      <w:r w:rsidR="00020F9A">
        <w:rPr>
          <w:rStyle w:val="ad"/>
          <w:lang w:val="en-US"/>
        </w:rPr>
        <w:footnoteReference w:customMarkFollows="1" w:id="1"/>
        <w:t>*)</w:t>
      </w:r>
    </w:p>
    <w:p w:rsidR="00043058" w:rsidRPr="00252927" w:rsidRDefault="00043058" w:rsidP="00043058">
      <w:pPr>
        <w:pStyle w:val="Zv-Author"/>
        <w:rPr>
          <w:lang w:val="en-US"/>
        </w:rPr>
      </w:pPr>
      <w:r w:rsidRPr="0065745D">
        <w:rPr>
          <w:vertAlign w:val="superscript"/>
          <w:lang w:val="en-US"/>
        </w:rPr>
        <w:t>1</w:t>
      </w:r>
      <w:r w:rsidRPr="0065745D">
        <w:rPr>
          <w:u w:val="single"/>
          <w:lang w:val="en-US"/>
        </w:rPr>
        <w:t>Klyuchnikov</w:t>
      </w:r>
      <w:r w:rsidRPr="00043058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L</w:t>
      </w:r>
      <w:r w:rsidRPr="0065745D">
        <w:rPr>
          <w:u w:val="single"/>
          <w:lang w:val="en-US"/>
        </w:rPr>
        <w:t>.</w:t>
      </w:r>
      <w:r>
        <w:rPr>
          <w:u w:val="single"/>
          <w:lang w:val="en-US"/>
        </w:rPr>
        <w:t>A</w:t>
      </w:r>
      <w:r w:rsidRPr="0065745D">
        <w:rPr>
          <w:u w:val="single"/>
          <w:lang w:val="en-US"/>
        </w:rPr>
        <w:t>.</w:t>
      </w:r>
      <w:r w:rsidRPr="0065745D">
        <w:rPr>
          <w:lang w:val="en-US"/>
        </w:rPr>
        <w:t xml:space="preserve">, </w:t>
      </w:r>
      <w:r w:rsidRPr="0065745D">
        <w:rPr>
          <w:vertAlign w:val="superscript"/>
          <w:lang w:val="en-US"/>
        </w:rPr>
        <w:t>1</w:t>
      </w:r>
      <w:r>
        <w:rPr>
          <w:lang w:val="en-US"/>
        </w:rPr>
        <w:t>Krupin</w:t>
      </w:r>
      <w:r w:rsidRPr="00043058">
        <w:rPr>
          <w:lang w:val="en-US"/>
        </w:rPr>
        <w:t xml:space="preserve"> </w:t>
      </w:r>
      <w:r>
        <w:rPr>
          <w:lang w:val="en-US"/>
        </w:rPr>
        <w:t>V</w:t>
      </w:r>
      <w:r w:rsidRPr="0065745D">
        <w:rPr>
          <w:lang w:val="en-US"/>
        </w:rPr>
        <w:t>.</w:t>
      </w:r>
      <w:r>
        <w:rPr>
          <w:lang w:val="en-US"/>
        </w:rPr>
        <w:t>A</w:t>
      </w:r>
      <w:r w:rsidRPr="0065745D">
        <w:rPr>
          <w:lang w:val="en-US"/>
        </w:rPr>
        <w:t xml:space="preserve">., </w:t>
      </w:r>
      <w:r w:rsidRPr="0065745D">
        <w:rPr>
          <w:vertAlign w:val="superscript"/>
          <w:lang w:val="en-US"/>
        </w:rPr>
        <w:t>1,2</w:t>
      </w:r>
      <w:r>
        <w:rPr>
          <w:lang w:val="en-US"/>
        </w:rPr>
        <w:t>Zemtsov</w:t>
      </w:r>
      <w:r w:rsidRPr="00043058">
        <w:rPr>
          <w:lang w:val="en-US"/>
        </w:rPr>
        <w:t xml:space="preserve"> </w:t>
      </w:r>
      <w:r>
        <w:rPr>
          <w:lang w:val="en-US"/>
        </w:rPr>
        <w:t>I</w:t>
      </w:r>
      <w:r w:rsidRPr="0065745D">
        <w:rPr>
          <w:lang w:val="en-US"/>
        </w:rPr>
        <w:t>.</w:t>
      </w:r>
      <w:r>
        <w:rPr>
          <w:lang w:val="en-US"/>
        </w:rPr>
        <w:t>A</w:t>
      </w:r>
      <w:r w:rsidRPr="0065745D">
        <w:rPr>
          <w:lang w:val="en-US"/>
        </w:rPr>
        <w:t xml:space="preserve">., </w:t>
      </w:r>
      <w:r w:rsidRPr="0065745D">
        <w:rPr>
          <w:vertAlign w:val="superscript"/>
          <w:lang w:val="en-US"/>
        </w:rPr>
        <w:t>1</w:t>
      </w:r>
      <w:r>
        <w:rPr>
          <w:lang w:val="en-US"/>
        </w:rPr>
        <w:t>Nurgaliev</w:t>
      </w:r>
      <w:r w:rsidRPr="00043058">
        <w:rPr>
          <w:lang w:val="en-US"/>
        </w:rPr>
        <w:t xml:space="preserve"> </w:t>
      </w:r>
      <w:r>
        <w:rPr>
          <w:lang w:val="en-US"/>
        </w:rPr>
        <w:t>M</w:t>
      </w:r>
      <w:r w:rsidRPr="0065745D">
        <w:rPr>
          <w:lang w:val="en-US"/>
        </w:rPr>
        <w:t>.</w:t>
      </w:r>
      <w:r>
        <w:rPr>
          <w:lang w:val="en-US"/>
        </w:rPr>
        <w:t>R</w:t>
      </w:r>
      <w:r w:rsidRPr="0065745D">
        <w:rPr>
          <w:lang w:val="en-US"/>
        </w:rPr>
        <w:t xml:space="preserve">., </w:t>
      </w:r>
      <w:r w:rsidRPr="0065745D">
        <w:rPr>
          <w:vertAlign w:val="superscript"/>
          <w:lang w:val="en-US"/>
        </w:rPr>
        <w:t>1</w:t>
      </w:r>
      <w:r>
        <w:rPr>
          <w:lang w:val="en-US"/>
        </w:rPr>
        <w:t>Nemets</w:t>
      </w:r>
      <w:r w:rsidR="002A4941" w:rsidRPr="002A4941">
        <w:rPr>
          <w:lang w:val="en-US"/>
        </w:rPr>
        <w:t xml:space="preserve"> </w:t>
      </w:r>
      <w:r w:rsidR="002A4941">
        <w:rPr>
          <w:lang w:val="en-US"/>
        </w:rPr>
        <w:t>A</w:t>
      </w:r>
      <w:r w:rsidR="002A4941" w:rsidRPr="0065745D">
        <w:rPr>
          <w:lang w:val="en-US"/>
        </w:rPr>
        <w:t>.</w:t>
      </w:r>
      <w:r w:rsidR="002A4941">
        <w:rPr>
          <w:lang w:val="en-US"/>
        </w:rPr>
        <w:t>R</w:t>
      </w:r>
      <w:r w:rsidR="002A4941" w:rsidRPr="0065745D">
        <w:rPr>
          <w:lang w:val="en-US"/>
        </w:rPr>
        <w:t>.</w:t>
      </w:r>
      <w:r w:rsidRPr="0065745D">
        <w:rPr>
          <w:lang w:val="en-US"/>
        </w:rPr>
        <w:t xml:space="preserve">, </w:t>
      </w:r>
      <w:r w:rsidRPr="0065745D">
        <w:rPr>
          <w:vertAlign w:val="superscript"/>
          <w:lang w:val="en-US"/>
        </w:rPr>
        <w:t>1</w:t>
      </w:r>
      <w:r w:rsidRPr="0065745D">
        <w:rPr>
          <w:lang w:val="en-US"/>
        </w:rPr>
        <w:t>Dnestrovskij</w:t>
      </w:r>
      <w:r w:rsidRPr="00043058">
        <w:rPr>
          <w:lang w:val="en-US"/>
        </w:rPr>
        <w:t xml:space="preserve"> </w:t>
      </w:r>
      <w:r>
        <w:rPr>
          <w:lang w:val="en-US"/>
        </w:rPr>
        <w:t>A</w:t>
      </w:r>
      <w:r w:rsidRPr="0065745D">
        <w:rPr>
          <w:lang w:val="en-US"/>
        </w:rPr>
        <w:t>.</w:t>
      </w:r>
      <w:r>
        <w:rPr>
          <w:lang w:val="en-US"/>
        </w:rPr>
        <w:t>Yu</w:t>
      </w:r>
      <w:r w:rsidRPr="0065745D">
        <w:rPr>
          <w:lang w:val="en-US"/>
        </w:rPr>
        <w:t xml:space="preserve">., </w:t>
      </w:r>
      <w:r w:rsidRPr="0065745D">
        <w:rPr>
          <w:vertAlign w:val="superscript"/>
          <w:lang w:val="en-US"/>
        </w:rPr>
        <w:t>1</w:t>
      </w:r>
      <w:r>
        <w:rPr>
          <w:lang w:val="en-US"/>
        </w:rPr>
        <w:t>Solovev</w:t>
      </w:r>
      <w:r w:rsidRPr="00043058">
        <w:rPr>
          <w:lang w:val="en-US"/>
        </w:rPr>
        <w:t xml:space="preserve"> </w:t>
      </w:r>
      <w:r>
        <w:rPr>
          <w:lang w:val="en-US"/>
        </w:rPr>
        <w:t>N</w:t>
      </w:r>
      <w:r w:rsidRPr="0065745D">
        <w:rPr>
          <w:lang w:val="en-US"/>
        </w:rPr>
        <w:t>.</w:t>
      </w:r>
      <w:r>
        <w:rPr>
          <w:lang w:val="en-US"/>
        </w:rPr>
        <w:t>A</w:t>
      </w:r>
      <w:r w:rsidRPr="0065745D">
        <w:rPr>
          <w:lang w:val="en-US"/>
        </w:rPr>
        <w:t xml:space="preserve">., </w:t>
      </w:r>
      <w:r w:rsidRPr="00252927">
        <w:rPr>
          <w:vertAlign w:val="superscript"/>
          <w:lang w:val="en-US"/>
        </w:rPr>
        <w:t>1</w:t>
      </w:r>
      <w:r>
        <w:rPr>
          <w:lang w:val="en-US"/>
        </w:rPr>
        <w:t>Sergeev</w:t>
      </w:r>
      <w:r w:rsidRPr="00043058">
        <w:rPr>
          <w:lang w:val="en-US"/>
        </w:rPr>
        <w:t xml:space="preserve"> </w:t>
      </w:r>
      <w:r>
        <w:rPr>
          <w:lang w:val="en-US"/>
        </w:rPr>
        <w:t>D</w:t>
      </w:r>
      <w:r w:rsidRPr="0065745D">
        <w:rPr>
          <w:lang w:val="en-US"/>
        </w:rPr>
        <w:t>.</w:t>
      </w:r>
      <w:r>
        <w:rPr>
          <w:lang w:val="en-US"/>
        </w:rPr>
        <w:t>S</w:t>
      </w:r>
      <w:r w:rsidRPr="0065745D">
        <w:rPr>
          <w:lang w:val="en-US"/>
        </w:rPr>
        <w:t xml:space="preserve">., </w:t>
      </w:r>
      <w:r w:rsidRPr="00252927">
        <w:rPr>
          <w:vertAlign w:val="superscript"/>
          <w:lang w:val="en-US"/>
        </w:rPr>
        <w:t>1</w:t>
      </w:r>
      <w:r>
        <w:rPr>
          <w:lang w:val="en-US"/>
        </w:rPr>
        <w:t>Sarychev</w:t>
      </w:r>
      <w:r w:rsidRPr="00043058">
        <w:rPr>
          <w:lang w:val="en-US"/>
        </w:rPr>
        <w:t xml:space="preserve"> </w:t>
      </w:r>
      <w:r>
        <w:rPr>
          <w:lang w:val="en-US"/>
        </w:rPr>
        <w:t>D</w:t>
      </w:r>
      <w:r w:rsidRPr="0065745D">
        <w:rPr>
          <w:lang w:val="en-US"/>
        </w:rPr>
        <w:t>.</w:t>
      </w:r>
      <w:r>
        <w:rPr>
          <w:lang w:val="en-US"/>
        </w:rPr>
        <w:t>V</w:t>
      </w:r>
      <w:r w:rsidRPr="0065745D">
        <w:rPr>
          <w:lang w:val="en-US"/>
        </w:rPr>
        <w:t xml:space="preserve">., </w:t>
      </w:r>
      <w:r w:rsidRPr="00252927">
        <w:rPr>
          <w:vertAlign w:val="superscript"/>
          <w:lang w:val="en-US"/>
        </w:rPr>
        <w:t>1</w:t>
      </w:r>
      <w:r>
        <w:rPr>
          <w:lang w:val="en-US"/>
        </w:rPr>
        <w:t>Trukhin</w:t>
      </w:r>
      <w:r w:rsidRPr="00043058">
        <w:rPr>
          <w:lang w:val="en-US"/>
        </w:rPr>
        <w:t xml:space="preserve"> </w:t>
      </w:r>
      <w:r>
        <w:rPr>
          <w:lang w:val="en-US"/>
        </w:rPr>
        <w:t>V</w:t>
      </w:r>
      <w:r w:rsidRPr="0065745D">
        <w:rPr>
          <w:lang w:val="en-US"/>
        </w:rPr>
        <w:t>.</w:t>
      </w:r>
      <w:r>
        <w:rPr>
          <w:lang w:val="en-US"/>
        </w:rPr>
        <w:t>M</w:t>
      </w:r>
      <w:r w:rsidRPr="0065745D">
        <w:rPr>
          <w:lang w:val="en-US"/>
        </w:rPr>
        <w:t>.</w:t>
      </w:r>
      <w:r>
        <w:rPr>
          <w:lang w:val="en-US"/>
        </w:rPr>
        <w:t xml:space="preserve">, </w:t>
      </w:r>
      <w:r w:rsidRPr="00252927">
        <w:rPr>
          <w:vertAlign w:val="superscript"/>
          <w:lang w:val="en-US"/>
        </w:rPr>
        <w:t>1</w:t>
      </w:r>
      <w:r>
        <w:rPr>
          <w:lang w:val="en-US"/>
        </w:rPr>
        <w:t>Myalton</w:t>
      </w:r>
      <w:r w:rsidRPr="00043058">
        <w:rPr>
          <w:lang w:val="en-US"/>
        </w:rPr>
        <w:t xml:space="preserve"> </w:t>
      </w:r>
      <w:r>
        <w:rPr>
          <w:lang w:val="en-US"/>
        </w:rPr>
        <w:t xml:space="preserve">T.B., </w:t>
      </w:r>
      <w:r w:rsidRPr="00252927">
        <w:rPr>
          <w:vertAlign w:val="superscript"/>
          <w:lang w:val="en-US"/>
        </w:rPr>
        <w:t>1</w:t>
      </w:r>
      <w:r w:rsidRPr="00252927">
        <w:rPr>
          <w:lang w:val="en-US"/>
        </w:rPr>
        <w:t>Borschegovskij</w:t>
      </w:r>
      <w:r w:rsidRPr="00043058">
        <w:rPr>
          <w:lang w:val="en-US"/>
        </w:rPr>
        <w:t xml:space="preserve"> </w:t>
      </w:r>
      <w:r>
        <w:rPr>
          <w:lang w:val="en-US"/>
        </w:rPr>
        <w:t>A.A.</w:t>
      </w:r>
    </w:p>
    <w:p w:rsidR="00043058" w:rsidRPr="00C6656F" w:rsidRDefault="00043058" w:rsidP="00043058">
      <w:pPr>
        <w:pStyle w:val="Zv-Organization"/>
        <w:rPr>
          <w:lang w:val="en-US"/>
        </w:rPr>
      </w:pPr>
      <w:r w:rsidRPr="00C6656F">
        <w:rPr>
          <w:vertAlign w:val="superscript"/>
          <w:lang w:val="en-US"/>
        </w:rPr>
        <w:t>1</w:t>
      </w:r>
      <w:r w:rsidRPr="00C6656F">
        <w:rPr>
          <w:lang w:val="en-US"/>
        </w:rPr>
        <w:t>NRC «Kurchatov Institute», Moscow, Russia</w:t>
      </w:r>
      <w:r w:rsidRPr="00252927">
        <w:rPr>
          <w:lang w:val="en-US"/>
        </w:rPr>
        <w:t xml:space="preserve">, </w:t>
      </w:r>
      <w:hyperlink r:id="rId8" w:history="1">
        <w:r w:rsidRPr="004E4D77">
          <w:rPr>
            <w:rStyle w:val="aa"/>
            <w:lang w:val="en-US"/>
          </w:rPr>
          <w:t>kluchnikov_la@nrcki.ru</w:t>
        </w:r>
      </w:hyperlink>
      <w:r>
        <w:rPr>
          <w:lang w:val="en-US"/>
        </w:rPr>
        <w:br/>
      </w:r>
      <w:r w:rsidRPr="00C6656F">
        <w:rPr>
          <w:vertAlign w:val="superscript"/>
          <w:lang w:val="en-US"/>
        </w:rPr>
        <w:t>2</w:t>
      </w:r>
      <w:r w:rsidRPr="00C6656F">
        <w:rPr>
          <w:lang w:val="en-US"/>
        </w:rPr>
        <w:t>Bauman Moscow State Technical University, Moscow, Russia</w:t>
      </w:r>
    </w:p>
    <w:p w:rsidR="00043058" w:rsidRPr="00252927" w:rsidRDefault="00043058" w:rsidP="00043058">
      <w:pPr>
        <w:pStyle w:val="Zv-bodyreport"/>
        <w:rPr>
          <w:lang w:val="en-US"/>
        </w:rPr>
      </w:pPr>
      <w:r w:rsidRPr="00252927">
        <w:rPr>
          <w:lang w:val="en-US"/>
        </w:rPr>
        <w:t xml:space="preserve">In experiments on T-10 with the </w:t>
      </w:r>
      <w:r>
        <w:rPr>
          <w:lang w:val="en-US"/>
        </w:rPr>
        <w:t xml:space="preserve">electron-cyclotron resonance </w:t>
      </w:r>
      <w:r w:rsidRPr="00252927">
        <w:rPr>
          <w:lang w:val="en-US"/>
        </w:rPr>
        <w:t>heating tungsten was removed from the center of the plasma cord [1] measured by</w:t>
      </w:r>
      <w:r>
        <w:rPr>
          <w:lang w:val="en-US"/>
        </w:rPr>
        <w:t xml:space="preserve"> the</w:t>
      </w:r>
      <w:r w:rsidRPr="00252927">
        <w:rPr>
          <w:lang w:val="en-US"/>
        </w:rPr>
        <w:t xml:space="preserve"> AXUV diagnostics. In cases where the removal took place according to the exponential law, the </w:t>
      </w:r>
      <w:r>
        <w:rPr>
          <w:lang w:val="en-US"/>
        </w:rPr>
        <w:t>prediction</w:t>
      </w:r>
      <w:r w:rsidRPr="00252927">
        <w:rPr>
          <w:lang w:val="en-US"/>
        </w:rPr>
        <w:t xml:space="preserve"> of the experimental dynamics</w:t>
      </w:r>
      <w:r>
        <w:rPr>
          <w:lang w:val="en-US"/>
        </w:rPr>
        <w:t xml:space="preserve"> in the transport model</w:t>
      </w:r>
      <w:r w:rsidRPr="00252927">
        <w:rPr>
          <w:lang w:val="en-US"/>
        </w:rPr>
        <w:t xml:space="preserve"> makes it possible to estimate the tungsten trans</w:t>
      </w:r>
      <w:r>
        <w:rPr>
          <w:lang w:val="en-US"/>
        </w:rPr>
        <w:t>port</w:t>
      </w:r>
      <w:r w:rsidRPr="00252927">
        <w:rPr>
          <w:lang w:val="en-US"/>
        </w:rPr>
        <w:t xml:space="preserve"> coefficients. For this, a system of two continuity equations (dynamic and stationary) is solved:</w:t>
      </w:r>
    </w:p>
    <w:p w:rsidR="00043058" w:rsidRPr="00252927" w:rsidRDefault="00043058" w:rsidP="00043058">
      <w:pPr>
        <w:pStyle w:val="Zv-formula"/>
        <w:rPr>
          <w:lang w:val="en-US"/>
        </w:rPr>
      </w:pPr>
      <w:r w:rsidRPr="00252927">
        <w:rPr>
          <w:lang w:val="en-US"/>
        </w:rPr>
        <w:t xml:space="preserve"> </w:t>
      </w:r>
      <w:r w:rsidRPr="00252927">
        <w:rPr>
          <w:lang w:val="en-US"/>
        </w:rPr>
        <w:tab/>
      </w:r>
      <w:r w:rsidRPr="008B08C6">
        <w:object w:dxaOrig="58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54pt" o:ole="">
            <v:imagedata r:id="rId9" o:title=""/>
          </v:shape>
          <o:OLEObject Type="Embed" ProgID="Equation.DSMT4" ShapeID="_x0000_i1025" DrawAspect="Content" ObjectID="_1648916998" r:id="rId10"/>
        </w:object>
      </w:r>
      <w:r w:rsidRPr="00252927">
        <w:rPr>
          <w:lang w:val="en-US"/>
        </w:rPr>
        <w:tab/>
      </w:r>
      <w:r w:rsidRPr="00043058">
        <w:rPr>
          <w:position w:val="48"/>
          <w:lang w:val="en-US"/>
        </w:rPr>
        <w:t>(1)</w:t>
      </w:r>
    </w:p>
    <w:p w:rsidR="00043058" w:rsidRPr="000E631A" w:rsidRDefault="00043058" w:rsidP="00043058">
      <w:pPr>
        <w:pStyle w:val="Zv-bodyreport"/>
        <w:ind w:firstLine="0"/>
        <w:rPr>
          <w:lang w:val="en-US"/>
        </w:rPr>
      </w:pPr>
      <w:r w:rsidRPr="000E631A">
        <w:rPr>
          <w:lang w:val="en-US"/>
        </w:rPr>
        <w:t xml:space="preserve">where </w:t>
      </w:r>
      <w:r w:rsidRPr="000E631A">
        <w:rPr>
          <w:i/>
          <w:iCs/>
          <w:lang w:val="en-US"/>
        </w:rPr>
        <w:t>n</w:t>
      </w:r>
      <w:r w:rsidRPr="000E631A">
        <w:rPr>
          <w:vertAlign w:val="subscript"/>
          <w:lang w:val="en-US"/>
        </w:rPr>
        <w:t>W</w:t>
      </w:r>
      <w:r w:rsidRPr="000E631A">
        <w:rPr>
          <w:lang w:val="en-US"/>
        </w:rPr>
        <w:t xml:space="preserve"> is the total tungsten ions </w:t>
      </w:r>
      <w:r>
        <w:rPr>
          <w:lang w:val="en-US"/>
        </w:rPr>
        <w:t>density</w:t>
      </w:r>
      <w:r w:rsidRPr="000E631A">
        <w:rPr>
          <w:lang w:val="en-US"/>
        </w:rPr>
        <w:t xml:space="preserve">, </w:t>
      </w:r>
      <w:r w:rsidRPr="000E631A">
        <w:rPr>
          <w:i/>
          <w:iCs/>
          <w:lang w:val="en-US"/>
        </w:rPr>
        <w:t>D</w:t>
      </w:r>
      <w:r w:rsidRPr="000E631A">
        <w:rPr>
          <w:lang w:val="en-US"/>
        </w:rPr>
        <w:t xml:space="preserve"> and </w:t>
      </w:r>
      <w:r w:rsidRPr="000E631A">
        <w:rPr>
          <w:i/>
          <w:iCs/>
          <w:lang w:val="en-US"/>
        </w:rPr>
        <w:t>V</w:t>
      </w:r>
      <w:r w:rsidRPr="000E631A">
        <w:rPr>
          <w:lang w:val="en-US"/>
        </w:rPr>
        <w:t xml:space="preserve"> are the diffusion coefficient and pinching velocity, </w:t>
      </w:r>
      <w:r w:rsidRPr="000E631A">
        <w:rPr>
          <w:i/>
          <w:iCs/>
          <w:lang w:val="en-US"/>
        </w:rPr>
        <w:t>Q</w:t>
      </w:r>
      <w:r w:rsidRPr="000E631A">
        <w:rPr>
          <w:vertAlign w:val="subscript"/>
          <w:lang w:val="en-US"/>
        </w:rPr>
        <w:t>W</w:t>
      </w:r>
      <w:r w:rsidRPr="000E631A">
        <w:rPr>
          <w:lang w:val="en-US"/>
        </w:rPr>
        <w:t xml:space="preserve"> is the sum of sources and sinks (</w:t>
      </w:r>
      <w:r w:rsidRPr="000E631A">
        <w:rPr>
          <w:i/>
          <w:iCs/>
          <w:lang w:val="en-US"/>
        </w:rPr>
        <w:t>Q</w:t>
      </w:r>
      <w:r w:rsidRPr="000E631A">
        <w:rPr>
          <w:vertAlign w:val="subscript"/>
          <w:lang w:val="en-US"/>
        </w:rPr>
        <w:t>W</w:t>
      </w:r>
      <w:r w:rsidRPr="000E631A">
        <w:rPr>
          <w:lang w:val="en-US"/>
        </w:rPr>
        <w:t xml:space="preserve"> ≈ 0 for the central</w:t>
      </w:r>
      <w:r>
        <w:rPr>
          <w:lang w:val="en-US"/>
        </w:rPr>
        <w:t xml:space="preserve"> plasma</w:t>
      </w:r>
      <w:r w:rsidRPr="000E631A">
        <w:rPr>
          <w:lang w:val="en-US"/>
        </w:rPr>
        <w:t xml:space="preserve"> </w:t>
      </w:r>
      <w:r>
        <w:rPr>
          <w:lang w:val="en-US"/>
        </w:rPr>
        <w:t>region</w:t>
      </w:r>
      <w:r w:rsidRPr="000E631A">
        <w:rPr>
          <w:lang w:val="en-US"/>
        </w:rPr>
        <w:t xml:space="preserve">). The solution is carried out by selecting such </w:t>
      </w:r>
      <w:r w:rsidRPr="000E631A">
        <w:rPr>
          <w:i/>
          <w:iCs/>
          <w:lang w:val="en-US"/>
        </w:rPr>
        <w:t>D</w:t>
      </w:r>
      <w:r w:rsidRPr="000E631A">
        <w:rPr>
          <w:lang w:val="en-US"/>
        </w:rPr>
        <w:t>(</w:t>
      </w:r>
      <w:r w:rsidRPr="000E631A">
        <w:rPr>
          <w:i/>
          <w:iCs/>
          <w:lang w:val="en-US"/>
        </w:rPr>
        <w:t>r</w:t>
      </w:r>
      <w:r w:rsidRPr="000E631A">
        <w:rPr>
          <w:lang w:val="en-US"/>
        </w:rPr>
        <w:t xml:space="preserve">) and </w:t>
      </w:r>
      <w:r w:rsidRPr="000E631A">
        <w:rPr>
          <w:i/>
          <w:iCs/>
          <w:lang w:val="en-US"/>
        </w:rPr>
        <w:t>V</w:t>
      </w:r>
      <w:r w:rsidRPr="000E631A">
        <w:rPr>
          <w:lang w:val="en-US"/>
        </w:rPr>
        <w:t>(</w:t>
      </w:r>
      <w:r w:rsidRPr="000E631A">
        <w:rPr>
          <w:i/>
          <w:iCs/>
          <w:lang w:val="en-US"/>
        </w:rPr>
        <w:t>r</w:t>
      </w:r>
      <w:r w:rsidRPr="000E631A">
        <w:rPr>
          <w:lang w:val="en-US"/>
        </w:rPr>
        <w:t>) that allow us to</w:t>
      </w:r>
      <w:r>
        <w:rPr>
          <w:lang w:val="en-US"/>
        </w:rPr>
        <w:t xml:space="preserve"> achieve the best</w:t>
      </w:r>
      <w:r w:rsidRPr="000E631A">
        <w:rPr>
          <w:lang w:val="en-US"/>
        </w:rPr>
        <w:t xml:space="preserve"> </w:t>
      </w:r>
      <w:r>
        <w:rPr>
          <w:lang w:val="en-US"/>
        </w:rPr>
        <w:t>description of</w:t>
      </w:r>
      <w:r w:rsidRPr="000E631A">
        <w:rPr>
          <w:lang w:val="en-US"/>
        </w:rPr>
        <w:t xml:space="preserve"> the</w:t>
      </w:r>
      <w:r>
        <w:rPr>
          <w:lang w:val="en-US"/>
        </w:rPr>
        <w:t xml:space="preserve"> AXUV signal</w:t>
      </w:r>
      <w:r w:rsidRPr="000E631A">
        <w:rPr>
          <w:lang w:val="en-US"/>
        </w:rPr>
        <w:t xml:space="preserve"> time </w:t>
      </w:r>
      <w:r>
        <w:rPr>
          <w:lang w:val="en-US"/>
        </w:rPr>
        <w:t>evolution</w:t>
      </w:r>
      <w:r w:rsidRPr="000E631A">
        <w:rPr>
          <w:lang w:val="en-US"/>
        </w:rPr>
        <w:t>.</w:t>
      </w:r>
    </w:p>
    <w:p w:rsidR="00043058" w:rsidRPr="00E03829" w:rsidRDefault="00043058" w:rsidP="00043058">
      <w:pPr>
        <w:pStyle w:val="Zv-bodyreport"/>
        <w:rPr>
          <w:lang w:val="en-US"/>
        </w:rPr>
      </w:pPr>
      <w:r w:rsidRPr="00771E5E">
        <w:rPr>
          <w:lang w:val="en-US"/>
        </w:rPr>
        <w:t xml:space="preserve">Equations are solved using the STRAHL code integrated in the ASTRA code. </w:t>
      </w:r>
      <w:r w:rsidRPr="004B3199">
        <w:rPr>
          <w:lang w:val="en-US"/>
        </w:rPr>
        <w:t>Trans</w:t>
      </w:r>
      <w:r>
        <w:rPr>
          <w:lang w:val="en-US"/>
        </w:rPr>
        <w:t>port coefficients</w:t>
      </w:r>
      <w:r w:rsidRPr="004B3199">
        <w:rPr>
          <w:lang w:val="en-US"/>
        </w:rPr>
        <w:t xml:space="preserve"> are considered as the sum of neoclassical and anomalous parts:</w:t>
      </w:r>
      <w:r>
        <w:rPr>
          <w:lang w:val="en-US"/>
        </w:rPr>
        <w:t xml:space="preserve"> </w:t>
      </w:r>
      <w:r w:rsidRPr="00E03829">
        <w:rPr>
          <w:i/>
          <w:iCs/>
          <w:lang w:val="en-US"/>
        </w:rPr>
        <w:t>D</w:t>
      </w:r>
      <w:r>
        <w:rPr>
          <w:lang w:val="en-US"/>
        </w:rPr>
        <w:t> = </w:t>
      </w:r>
      <w:r w:rsidRPr="00E03829">
        <w:rPr>
          <w:i/>
          <w:iCs/>
          <w:lang w:val="en-US"/>
        </w:rPr>
        <w:t>D</w:t>
      </w:r>
      <w:r w:rsidRPr="00E03829">
        <w:rPr>
          <w:i/>
          <w:iCs/>
          <w:vertAlign w:val="superscript"/>
          <w:lang w:val="en-US"/>
        </w:rPr>
        <w:t>neo</w:t>
      </w:r>
      <w:r>
        <w:rPr>
          <w:i/>
          <w:iCs/>
          <w:vertAlign w:val="superscript"/>
          <w:lang w:val="en-US"/>
        </w:rPr>
        <w:t> </w:t>
      </w:r>
      <w:r>
        <w:rPr>
          <w:lang w:val="en-US"/>
        </w:rPr>
        <w:t>+</w:t>
      </w:r>
      <w:r w:rsidRPr="00E03829">
        <w:rPr>
          <w:vertAlign w:val="superscript"/>
          <w:lang w:val="en-US"/>
        </w:rPr>
        <w:t> </w:t>
      </w:r>
      <w:r w:rsidRPr="00E03829">
        <w:rPr>
          <w:i/>
          <w:iCs/>
          <w:lang w:val="en-US"/>
        </w:rPr>
        <w:t>D</w:t>
      </w:r>
      <w:r w:rsidRPr="00E03829">
        <w:rPr>
          <w:i/>
          <w:iCs/>
          <w:vertAlign w:val="superscript"/>
          <w:lang w:val="en-US"/>
        </w:rPr>
        <w:t>an</w:t>
      </w:r>
      <w:r>
        <w:rPr>
          <w:lang w:val="en-US"/>
        </w:rPr>
        <w:t xml:space="preserve"> </w:t>
      </w:r>
      <w:r w:rsidRPr="004B3199">
        <w:rPr>
          <w:lang w:val="en-US"/>
        </w:rPr>
        <w:t>and</w:t>
      </w:r>
      <w:r>
        <w:rPr>
          <w:lang w:val="en-US"/>
        </w:rPr>
        <w:t xml:space="preserve"> </w:t>
      </w:r>
      <w:r w:rsidRPr="00E03829">
        <w:rPr>
          <w:i/>
          <w:iCs/>
          <w:lang w:val="en-US"/>
        </w:rPr>
        <w:t>V</w:t>
      </w:r>
      <w:r>
        <w:rPr>
          <w:lang w:val="en-US"/>
        </w:rPr>
        <w:t> = </w:t>
      </w:r>
      <w:r w:rsidRPr="00E03829">
        <w:rPr>
          <w:i/>
          <w:iCs/>
          <w:lang w:val="en-US"/>
        </w:rPr>
        <w:t>V</w:t>
      </w:r>
      <w:r w:rsidRPr="00E03829">
        <w:rPr>
          <w:i/>
          <w:iCs/>
          <w:vertAlign w:val="superscript"/>
          <w:lang w:val="en-US"/>
        </w:rPr>
        <w:t>neo</w:t>
      </w:r>
      <w:r>
        <w:rPr>
          <w:vertAlign w:val="superscript"/>
          <w:lang w:val="en-US"/>
        </w:rPr>
        <w:t> </w:t>
      </w:r>
      <w:r>
        <w:rPr>
          <w:lang w:val="en-US"/>
        </w:rPr>
        <w:t>+</w:t>
      </w:r>
      <w:r w:rsidRPr="00E03829">
        <w:rPr>
          <w:vertAlign w:val="superscript"/>
          <w:lang w:val="en-US"/>
        </w:rPr>
        <w:t> </w:t>
      </w:r>
      <w:r w:rsidRPr="00E03829">
        <w:rPr>
          <w:i/>
          <w:iCs/>
          <w:lang w:val="en-US"/>
        </w:rPr>
        <w:t>V</w:t>
      </w:r>
      <w:r w:rsidRPr="00E03829">
        <w:rPr>
          <w:i/>
          <w:iCs/>
          <w:vertAlign w:val="superscript"/>
          <w:lang w:val="en-US"/>
        </w:rPr>
        <w:t>an</w:t>
      </w:r>
      <w:r w:rsidRPr="004B3199">
        <w:rPr>
          <w:lang w:val="en-US"/>
        </w:rPr>
        <w:t xml:space="preserve">. </w:t>
      </w:r>
      <w:r w:rsidRPr="00E03829">
        <w:rPr>
          <w:lang w:val="en-US"/>
        </w:rPr>
        <w:t>Neoclassic</w:t>
      </w:r>
      <w:r>
        <w:rPr>
          <w:lang w:val="en-US"/>
        </w:rPr>
        <w:t>al part is</w:t>
      </w:r>
      <w:r w:rsidRPr="00E03829">
        <w:rPr>
          <w:lang w:val="en-US"/>
        </w:rPr>
        <w:t xml:space="preserve"> calculated using the NEOART code.</w:t>
      </w:r>
    </w:p>
    <w:p w:rsidR="00043058" w:rsidRPr="00771E5E" w:rsidRDefault="00043058" w:rsidP="00043058">
      <w:pPr>
        <w:pStyle w:val="Zv-bodyreport"/>
        <w:rPr>
          <w:lang w:val="en-US"/>
        </w:rPr>
      </w:pPr>
      <w:r w:rsidRPr="000E631A">
        <w:rPr>
          <w:lang w:val="en-US"/>
        </w:rPr>
        <w:t xml:space="preserve">An example of </w:t>
      </w:r>
      <w:r>
        <w:rPr>
          <w:lang w:val="en-US"/>
        </w:rPr>
        <w:t>a</w:t>
      </w:r>
      <w:r w:rsidRPr="000E631A">
        <w:rPr>
          <w:lang w:val="en-US"/>
        </w:rPr>
        <w:t xml:space="preserve"> dynamics description </w:t>
      </w:r>
      <w:r>
        <w:rPr>
          <w:lang w:val="en-US"/>
        </w:rPr>
        <w:t>i</w:t>
      </w:r>
      <w:r w:rsidRPr="000E631A">
        <w:rPr>
          <w:lang w:val="en-US"/>
        </w:rPr>
        <w:t xml:space="preserve">n a discharge with central </w:t>
      </w:r>
      <w:r>
        <w:rPr>
          <w:lang w:val="en-US"/>
        </w:rPr>
        <w:t>ECR-</w:t>
      </w:r>
      <w:r w:rsidRPr="000E631A">
        <w:rPr>
          <w:lang w:val="en-US"/>
        </w:rPr>
        <w:t xml:space="preserve">heating with a power of </w:t>
      </w:r>
      <w:r w:rsidRPr="000E631A">
        <w:rPr>
          <w:i/>
          <w:iCs/>
          <w:lang w:val="en-US"/>
        </w:rPr>
        <w:t>P</w:t>
      </w:r>
      <w:r w:rsidRPr="000E631A">
        <w:rPr>
          <w:i/>
          <w:iCs/>
          <w:vertAlign w:val="subscript"/>
          <w:lang w:val="en-US"/>
        </w:rPr>
        <w:t>EC</w:t>
      </w:r>
      <w:r>
        <w:rPr>
          <w:lang w:val="en-US"/>
        </w:rPr>
        <w:t> </w:t>
      </w:r>
      <w:r w:rsidRPr="000E631A">
        <w:rPr>
          <w:lang w:val="en-US"/>
        </w:rPr>
        <w:t>=</w:t>
      </w:r>
      <w:r>
        <w:rPr>
          <w:lang w:val="en-US"/>
        </w:rPr>
        <w:t> </w:t>
      </w:r>
      <w:r w:rsidRPr="000E631A">
        <w:rPr>
          <w:lang w:val="en-US"/>
        </w:rPr>
        <w:t>0.75</w:t>
      </w:r>
      <w:r>
        <w:rPr>
          <w:lang w:val="en-US"/>
        </w:rPr>
        <w:t> </w:t>
      </w:r>
      <w:r w:rsidRPr="000E631A">
        <w:rPr>
          <w:lang w:val="en-US"/>
        </w:rPr>
        <w:t>MW is shown in Fig.</w:t>
      </w:r>
      <w:r>
        <w:rPr>
          <w:lang w:val="en-US"/>
        </w:rPr>
        <w:t> </w:t>
      </w:r>
      <w:r w:rsidRPr="000E631A">
        <w:rPr>
          <w:lang w:val="en-US"/>
        </w:rPr>
        <w:t xml:space="preserve">1. The time </w:t>
      </w:r>
      <w:r>
        <w:rPr>
          <w:lang w:val="en-US"/>
        </w:rPr>
        <w:t>evolution</w:t>
      </w:r>
      <w:r w:rsidRPr="000E631A">
        <w:rPr>
          <w:lang w:val="en-US"/>
        </w:rPr>
        <w:t xml:space="preserve"> of the central chord</w:t>
      </w:r>
      <w:r>
        <w:rPr>
          <w:lang w:val="en-US"/>
        </w:rPr>
        <w:t xml:space="preserve"> for</w:t>
      </w:r>
      <w:r w:rsidRPr="000E631A">
        <w:rPr>
          <w:lang w:val="en-US"/>
        </w:rPr>
        <w:t xml:space="preserve"> AXUV is given in Fig.</w:t>
      </w:r>
      <w:r>
        <w:rPr>
          <w:lang w:val="en-US"/>
        </w:rPr>
        <w:t> </w:t>
      </w:r>
      <w:r w:rsidRPr="000E631A">
        <w:rPr>
          <w:lang w:val="en-US"/>
        </w:rPr>
        <w:t>1</w:t>
      </w:r>
      <w:r>
        <w:rPr>
          <w:lang w:val="en-US"/>
        </w:rPr>
        <w:t> (</w:t>
      </w:r>
      <w:r w:rsidRPr="000E631A">
        <w:rPr>
          <w:lang w:val="en-US"/>
        </w:rPr>
        <w:t>a)</w:t>
      </w:r>
      <w:r>
        <w:rPr>
          <w:lang w:val="en-US"/>
        </w:rPr>
        <w:t>.</w:t>
      </w:r>
      <w:r w:rsidRPr="000E631A">
        <w:rPr>
          <w:lang w:val="en-US"/>
        </w:rPr>
        <w:t xml:space="preserve"> The description is </w:t>
      </w:r>
      <w:r>
        <w:rPr>
          <w:lang w:val="en-US"/>
        </w:rPr>
        <w:t>carried out</w:t>
      </w:r>
      <w:r w:rsidRPr="000E631A">
        <w:rPr>
          <w:lang w:val="en-US"/>
        </w:rPr>
        <w:t xml:space="preserve"> with the coefficients </w:t>
      </w:r>
      <w:r w:rsidRPr="00E03829">
        <w:rPr>
          <w:i/>
          <w:iCs/>
          <w:lang w:val="en-US"/>
        </w:rPr>
        <w:t>D</w:t>
      </w:r>
      <w:r w:rsidRPr="000E631A">
        <w:rPr>
          <w:lang w:val="en-US"/>
        </w:rPr>
        <w:t xml:space="preserve"> and </w:t>
      </w:r>
      <w:r w:rsidRPr="00E03829">
        <w:rPr>
          <w:i/>
          <w:iCs/>
          <w:lang w:val="en-US"/>
        </w:rPr>
        <w:t>V</w:t>
      </w:r>
      <w:r w:rsidRPr="000E631A">
        <w:rPr>
          <w:lang w:val="en-US"/>
        </w:rPr>
        <w:t xml:space="preserve"> shown given in Fig.</w:t>
      </w:r>
      <w:r>
        <w:rPr>
          <w:lang w:val="en-US"/>
        </w:rPr>
        <w:t> </w:t>
      </w:r>
      <w:r w:rsidRPr="000E631A">
        <w:rPr>
          <w:lang w:val="en-US"/>
        </w:rPr>
        <w:t>1</w:t>
      </w:r>
      <w:r>
        <w:rPr>
          <w:lang w:val="en-US"/>
        </w:rPr>
        <w:t> (</w:t>
      </w:r>
      <w:r w:rsidRPr="000E631A">
        <w:rPr>
          <w:lang w:val="en-US"/>
        </w:rPr>
        <w:t>b)-</w:t>
      </w:r>
      <w:r>
        <w:rPr>
          <w:lang w:val="en-US"/>
        </w:rPr>
        <w:t>(</w:t>
      </w:r>
      <w:r w:rsidRPr="000E631A">
        <w:rPr>
          <w:lang w:val="en-US"/>
        </w:rPr>
        <w:t xml:space="preserve">c). </w:t>
      </w:r>
      <w:r w:rsidRPr="00E03829">
        <w:rPr>
          <w:lang w:val="en-US"/>
        </w:rPr>
        <w:t xml:space="preserve">The characteristic decay time is </w:t>
      </w:r>
      <w:r w:rsidRPr="00252927">
        <w:t>τ</w:t>
      </w:r>
      <w:r w:rsidRPr="00E03829">
        <w:rPr>
          <w:vertAlign w:val="subscript"/>
          <w:lang w:val="en-US"/>
        </w:rPr>
        <w:t>exp</w:t>
      </w:r>
      <w:r>
        <w:rPr>
          <w:lang w:val="en-US"/>
        </w:rPr>
        <w:t> </w:t>
      </w:r>
      <w:r w:rsidRPr="00E03829">
        <w:rPr>
          <w:lang w:val="en-US"/>
        </w:rPr>
        <w:t>≈14</w:t>
      </w:r>
      <w:r>
        <w:rPr>
          <w:lang w:val="en-US"/>
        </w:rPr>
        <w:t> </w:t>
      </w:r>
      <w:r w:rsidRPr="00E03829">
        <w:rPr>
          <w:lang w:val="en-US"/>
        </w:rPr>
        <w:t xml:space="preserve">ms. </w:t>
      </w:r>
      <w:r w:rsidRPr="000E631A">
        <w:rPr>
          <w:lang w:val="en-US"/>
        </w:rPr>
        <w:t>As can be seen, such a time can be obtained by adding diffusion at the level of 1.5-2 m</w:t>
      </w:r>
      <w:r w:rsidRPr="000E631A">
        <w:rPr>
          <w:vertAlign w:val="superscript"/>
          <w:lang w:val="en-US"/>
        </w:rPr>
        <w:t>2</w:t>
      </w:r>
      <w:r w:rsidRPr="000E631A">
        <w:rPr>
          <w:lang w:val="en-US"/>
        </w:rPr>
        <w:t xml:space="preserve">/s to the ohmic level. </w:t>
      </w:r>
      <w:r w:rsidRPr="00771E5E">
        <w:rPr>
          <w:lang w:val="en-US"/>
        </w:rPr>
        <w:t>The pinch term in this case turns out to be practically zero up to the middle of the plasma cord.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043058" w:rsidTr="0039625C">
        <w:tc>
          <w:tcPr>
            <w:tcW w:w="9628" w:type="dxa"/>
          </w:tcPr>
          <w:p w:rsidR="00043058" w:rsidRDefault="00043058" w:rsidP="0039625C">
            <w:pPr>
              <w:pStyle w:val="Zv-bodyreportcont"/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70896" cy="1519233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072" cy="152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058" w:rsidRPr="00020F9A" w:rsidTr="0039625C">
        <w:tc>
          <w:tcPr>
            <w:tcW w:w="9628" w:type="dxa"/>
          </w:tcPr>
          <w:p w:rsidR="00043058" w:rsidRPr="00043058" w:rsidRDefault="00043058" w:rsidP="00043058">
            <w:pPr>
              <w:pStyle w:val="Zv-bodyreportcont"/>
              <w:spacing w:after="120"/>
              <w:ind w:left="426" w:right="198"/>
              <w:jc w:val="center"/>
              <w:rPr>
                <w:sz w:val="22"/>
                <w:szCs w:val="22"/>
                <w:lang w:val="en-US"/>
              </w:rPr>
            </w:pPr>
            <w:r w:rsidRPr="00020F9A">
              <w:rPr>
                <w:rStyle w:val="tlid-translation"/>
                <w:sz w:val="22"/>
                <w:szCs w:val="22"/>
                <w:lang w:val="en-US"/>
              </w:rPr>
              <w:t>Fig. 1. Results of calculations for discharge 70358: (a) description of the dynamics of the AXUV for the central chord, (b) diffusion coefficients, (c) pinching velocity</w:t>
            </w:r>
          </w:p>
        </w:tc>
      </w:tr>
    </w:tbl>
    <w:p w:rsidR="00043058" w:rsidRPr="005534EF" w:rsidRDefault="00043058" w:rsidP="00043058">
      <w:pPr>
        <w:pStyle w:val="Zv-bodyreport"/>
        <w:rPr>
          <w:lang w:val="en-US"/>
        </w:rPr>
      </w:pPr>
      <w:r w:rsidRPr="00252927">
        <w:rPr>
          <w:lang w:val="en-US"/>
        </w:rPr>
        <w:t xml:space="preserve">Thus, the introduction of ECR heating leads to the removal of tungsten from the center of the plasma mainly due to an increase in anomalous diffusion. </w:t>
      </w:r>
      <w:r w:rsidRPr="005534EF">
        <w:rPr>
          <w:lang w:val="en-US"/>
        </w:rPr>
        <w:t>The results obtained, however, do not exclude the possibility of the existence</w:t>
      </w:r>
      <w:r>
        <w:rPr>
          <w:lang w:val="en-US"/>
        </w:rPr>
        <w:t xml:space="preserve"> of the</w:t>
      </w:r>
      <w:r w:rsidRPr="005534EF">
        <w:rPr>
          <w:lang w:val="en-US"/>
        </w:rPr>
        <w:t xml:space="preserve"> </w:t>
      </w:r>
      <w:r w:rsidRPr="00020F9A">
        <w:rPr>
          <w:rStyle w:val="tlid-translation"/>
          <w:lang w:val="en-US"/>
        </w:rPr>
        <w:t>convective removal of W from the plasma center in the ECR regimes</w:t>
      </w:r>
      <w:r w:rsidRPr="005534EF">
        <w:rPr>
          <w:lang w:val="en-US"/>
        </w:rPr>
        <w:t xml:space="preserve">. </w:t>
      </w:r>
      <w:r>
        <w:rPr>
          <w:lang w:val="en-US"/>
        </w:rPr>
        <w:t>Further</w:t>
      </w:r>
      <w:r w:rsidRPr="005534EF">
        <w:rPr>
          <w:lang w:val="en-US"/>
        </w:rPr>
        <w:t xml:space="preserve"> research is required </w:t>
      </w:r>
      <w:r>
        <w:rPr>
          <w:lang w:val="en-US"/>
        </w:rPr>
        <w:t>f</w:t>
      </w:r>
      <w:r w:rsidRPr="005534EF">
        <w:rPr>
          <w:lang w:val="en-US"/>
        </w:rPr>
        <w:t>or a more definite answer.</w:t>
      </w:r>
    </w:p>
    <w:p w:rsidR="00043058" w:rsidRPr="00252927" w:rsidRDefault="00043058" w:rsidP="0004305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043058" w:rsidRPr="005534EF" w:rsidRDefault="00043058" w:rsidP="00043058">
      <w:pPr>
        <w:pStyle w:val="Zv-References-en"/>
      </w:pPr>
      <w:r w:rsidRPr="005534EF">
        <w:t>V.A. Krupin et.al. Nucl. Fusion 57 (2017) 066041 (9pp)</w:t>
      </w:r>
    </w:p>
    <w:sectPr w:rsidR="00043058" w:rsidRPr="005534EF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79" w:rsidRDefault="006F0779">
      <w:r>
        <w:separator/>
      </w:r>
    </w:p>
  </w:endnote>
  <w:endnote w:type="continuationSeparator" w:id="0">
    <w:p w:rsidR="006F0779" w:rsidRDefault="006F0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12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12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CA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79" w:rsidRDefault="006F0779">
      <w:r>
        <w:separator/>
      </w:r>
    </w:p>
  </w:footnote>
  <w:footnote w:type="continuationSeparator" w:id="0">
    <w:p w:rsidR="006F0779" w:rsidRDefault="006F0779">
      <w:r>
        <w:continuationSeparator/>
      </w:r>
    </w:p>
  </w:footnote>
  <w:footnote w:id="1">
    <w:p w:rsidR="00020F9A" w:rsidRPr="00020F9A" w:rsidRDefault="00020F9A">
      <w:pPr>
        <w:pStyle w:val="ab"/>
        <w:rPr>
          <w:sz w:val="22"/>
          <w:szCs w:val="22"/>
          <w:lang w:val="en-US"/>
        </w:rPr>
      </w:pPr>
      <w:r w:rsidRPr="00020F9A">
        <w:rPr>
          <w:rStyle w:val="ad"/>
          <w:sz w:val="22"/>
          <w:szCs w:val="22"/>
          <w:lang w:val="en-US"/>
        </w:rPr>
        <w:t>*)</w:t>
      </w:r>
      <w:r w:rsidRPr="00020F9A">
        <w:rPr>
          <w:sz w:val="22"/>
          <w:szCs w:val="22"/>
          <w:lang w:val="en-US"/>
        </w:rPr>
        <w:t xml:space="preserve">  </w:t>
      </w:r>
      <w:hyperlink r:id="rId1" w:history="1">
        <w:r w:rsidRPr="00020F9A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21127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4941"/>
    <w:rsid w:val="00020F9A"/>
    <w:rsid w:val="00043058"/>
    <w:rsid w:val="00043701"/>
    <w:rsid w:val="000C657D"/>
    <w:rsid w:val="000C7078"/>
    <w:rsid w:val="000D76E9"/>
    <w:rsid w:val="000E495B"/>
    <w:rsid w:val="001C0CCB"/>
    <w:rsid w:val="00205708"/>
    <w:rsid w:val="00211276"/>
    <w:rsid w:val="00220629"/>
    <w:rsid w:val="0023083F"/>
    <w:rsid w:val="00247225"/>
    <w:rsid w:val="002A4941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6F0779"/>
    <w:rsid w:val="00732A2E"/>
    <w:rsid w:val="007B09C9"/>
    <w:rsid w:val="007B6378"/>
    <w:rsid w:val="007E06CE"/>
    <w:rsid w:val="00802D35"/>
    <w:rsid w:val="008306AF"/>
    <w:rsid w:val="008520F9"/>
    <w:rsid w:val="00870D26"/>
    <w:rsid w:val="008850EF"/>
    <w:rsid w:val="00906FF7"/>
    <w:rsid w:val="009C0438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36CAA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05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043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043058"/>
  </w:style>
  <w:style w:type="paragraph" w:styleId="a8">
    <w:name w:val="Balloon Text"/>
    <w:basedOn w:val="a"/>
    <w:link w:val="a9"/>
    <w:rsid w:val="000430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305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43058"/>
    <w:rPr>
      <w:color w:val="0000FF" w:themeColor="hyperlink"/>
      <w:u w:val="single"/>
    </w:rPr>
  </w:style>
  <w:style w:type="paragraph" w:styleId="ab">
    <w:name w:val="footnote text"/>
    <w:basedOn w:val="a"/>
    <w:link w:val="ac"/>
    <w:rsid w:val="00020F9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20F9A"/>
  </w:style>
  <w:style w:type="character" w:styleId="ad">
    <w:name w:val="footnote reference"/>
    <w:basedOn w:val="a0"/>
    <w:rsid w:val="00020F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chnikov_la@nrck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K-Zemts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8099-2F51-410F-B85B-B5A371AC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11</TotalTime>
  <Pages>1</Pages>
  <Words>430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ANOMALOUS TRANSPORT OF TUNGSTEN IONS IN DISCHARGES WITH ECR-HEATING ON THE T-10</dc:title>
  <dc:creator>sato</dc:creator>
  <cp:lastModifiedBy>Сатунин</cp:lastModifiedBy>
  <cp:revision>4</cp:revision>
  <cp:lastPrinted>1601-01-01T00:00:00Z</cp:lastPrinted>
  <dcterms:created xsi:type="dcterms:W3CDTF">2020-02-14T22:15:00Z</dcterms:created>
  <dcterms:modified xsi:type="dcterms:W3CDTF">2020-04-20T16:44:00Z</dcterms:modified>
</cp:coreProperties>
</file>