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19" w:rsidRPr="000633F3" w:rsidRDefault="00844F19" w:rsidP="000633F3">
      <w:pPr>
        <w:pStyle w:val="Zv-Titlereport"/>
        <w:spacing w:line="230" w:lineRule="auto"/>
      </w:pPr>
      <w:r w:rsidRPr="00371FF7">
        <w:t>Состояние программы развития технологий дополнительного нагрева и топливной инжекции в виде пучка быстрых атомов для ГССД в РФ</w:t>
      </w:r>
      <w:r w:rsidR="000633F3" w:rsidRPr="000633F3">
        <w:t xml:space="preserve"> </w:t>
      </w:r>
      <w:r w:rsidR="000633F3">
        <w:rPr>
          <w:rStyle w:val="ab"/>
        </w:rPr>
        <w:footnoteReference w:customMarkFollows="1" w:id="1"/>
        <w:t>*)</w:t>
      </w:r>
    </w:p>
    <w:p w:rsidR="00844F19" w:rsidRPr="00371FF7" w:rsidRDefault="00844F19" w:rsidP="000633F3">
      <w:pPr>
        <w:pStyle w:val="Zv-Author"/>
        <w:spacing w:line="230" w:lineRule="auto"/>
      </w:pPr>
      <w:r w:rsidRPr="00287B56">
        <w:rPr>
          <w:vertAlign w:val="superscript"/>
        </w:rPr>
        <w:t>1</w:t>
      </w:r>
      <w:r>
        <w:rPr>
          <w:u w:val="single"/>
        </w:rPr>
        <w:t>Ананьев С.С.</w:t>
      </w:r>
      <w:r>
        <w:t xml:space="preserve">, </w:t>
      </w:r>
      <w:r>
        <w:rPr>
          <w:vertAlign w:val="superscript"/>
        </w:rPr>
        <w:t>1</w:t>
      </w:r>
      <w:r>
        <w:t xml:space="preserve">Панасенков А.А., </w:t>
      </w:r>
      <w:r>
        <w:rPr>
          <w:vertAlign w:val="superscript"/>
        </w:rPr>
        <w:t>1,2</w:t>
      </w:r>
      <w:r>
        <w:t>Кутеев</w:t>
      </w:r>
      <w:r w:rsidRPr="000A29E1">
        <w:rPr>
          <w:color w:val="222222"/>
          <w:shd w:val="clear" w:color="auto" w:fill="FFFFFF"/>
        </w:rPr>
        <w:t xml:space="preserve"> </w:t>
      </w:r>
      <w:r>
        <w:t>Б.В.</w:t>
      </w:r>
    </w:p>
    <w:p w:rsidR="00844F19" w:rsidRPr="00371FF7" w:rsidRDefault="00844F19" w:rsidP="000633F3">
      <w:pPr>
        <w:pStyle w:val="Zv-Organization"/>
        <w:spacing w:line="230" w:lineRule="auto"/>
      </w:pPr>
      <w:r w:rsidRPr="00371FF7">
        <w:rPr>
          <w:vertAlign w:val="superscript"/>
        </w:rPr>
        <w:t>1</w:t>
      </w:r>
      <w:r w:rsidRPr="00371FF7">
        <w:t xml:space="preserve">НИЦ «Курчатовский институт», Москва, Россия, </w:t>
      </w:r>
      <w:hyperlink r:id="rId8" w:history="1">
        <w:r w:rsidRPr="00371FF7">
          <w:rPr>
            <w:rStyle w:val="a8"/>
          </w:rPr>
          <w:t>Ananyev_SS@nrcki.ru</w:t>
        </w:r>
      </w:hyperlink>
      <w:r w:rsidRPr="00371FF7">
        <w:br/>
      </w:r>
      <w:r w:rsidRPr="00371FF7">
        <w:rPr>
          <w:vertAlign w:val="superscript"/>
        </w:rPr>
        <w:t>2</w:t>
      </w:r>
      <w:r w:rsidRPr="00371FF7">
        <w:t>Национальный исследовательский ядерный университет «МИФИ», Москва, Россия</w:t>
      </w:r>
    </w:p>
    <w:p w:rsidR="00844F19" w:rsidRPr="00371FF7" w:rsidRDefault="00844F19" w:rsidP="000633F3">
      <w:pPr>
        <w:pStyle w:val="Zv-bodyreport"/>
        <w:spacing w:line="230" w:lineRule="auto"/>
      </w:pPr>
      <w:r w:rsidRPr="00371FF7">
        <w:t xml:space="preserve">Программа развития гибридных систем синтез-деление (ГССД), предлагаемая НИЦ </w:t>
      </w:r>
      <w:r w:rsidRPr="00371FF7">
        <w:rPr>
          <w:rFonts w:eastAsia="TimesNewRomanPSMT"/>
        </w:rPr>
        <w:t>«</w:t>
      </w:r>
      <w:r w:rsidRPr="00844F19">
        <w:rPr>
          <w:rFonts w:eastAsia="TimesNewRomanPSMT"/>
        </w:rPr>
        <w:t>Курчатовский</w:t>
      </w:r>
      <w:r w:rsidRPr="00371FF7">
        <w:rPr>
          <w:rFonts w:eastAsia="TimesNewRomanPSMT"/>
        </w:rPr>
        <w:t xml:space="preserve"> институт», </w:t>
      </w:r>
      <w:r w:rsidRPr="00371FF7">
        <w:t>предусматривает создание стендовой базы для отработки технологий и их взаимной интеграции. Своевременное обеспечение специализированными стендами и квалифицированным персоналом позволит эффективно реализовать проект строительства ГРУ с тепловой мощностью до 500 МВт [1]</w:t>
      </w:r>
      <w:r w:rsidRPr="00371FF7">
        <w:rPr>
          <w:rFonts w:eastAsia="TimesNewRomanPSMT"/>
        </w:rPr>
        <w:t>.</w:t>
      </w:r>
    </w:p>
    <w:p w:rsidR="00844F19" w:rsidRPr="00844F19" w:rsidRDefault="00844F19" w:rsidP="000633F3">
      <w:pPr>
        <w:pStyle w:val="Zv-bodyreport"/>
        <w:spacing w:line="230" w:lineRule="auto"/>
        <w:rPr>
          <w:rFonts w:eastAsia="TimesNewRomanPSMT"/>
        </w:rPr>
      </w:pPr>
      <w:r w:rsidRPr="00844F19">
        <w:rPr>
          <w:rFonts w:eastAsia="TimesNewRomanPSMT"/>
        </w:rPr>
        <w:t xml:space="preserve">Задачи текущего периода включают обоснование выбора технологий топливного цикла (ТЦ) и гибридного бланкета, а также техническое проектирование источника термоядерных нейтронов ТИН-К и гибридной реакторной установки (ГРУ) для тестирования технологий, материалов и компонент ГССД. Работы координируются с федеральным проектом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 (РТТН) ГК Росатом. </w:t>
      </w:r>
    </w:p>
    <w:p w:rsidR="00844F19" w:rsidRPr="00844F19" w:rsidRDefault="00844F19" w:rsidP="000633F3">
      <w:pPr>
        <w:pStyle w:val="Zv-bodyreport"/>
        <w:spacing w:line="230" w:lineRule="auto"/>
      </w:pPr>
      <w:r w:rsidRPr="00844F19">
        <w:t xml:space="preserve">В результате работ до 2024 года планируется подготовить эскизный и технический проекты мульти-изотопного комплекса нейтральной инжекции с характеристиками ТИН-К и ГРУ, разработать и запустить в эксплуатацию физическую модель (стенд) системы формирования и транспортировки пучков быстрых атомов для исследований, направленных на определение эксплуатационных параметров, производительности вспомогательных подсистем, количества изотопов водорода в них и др. параметров системы нейтральной инжекции (СНИ) с использованием проектов ДЕМО-ТИН [2] и ТИН-СТ [3] как основы проектирования ТИН-К и ГРУ. Планируются анализ и обоснование безопасности технологических систем, а также обучение персонала для эксплуатации ГССД с запасом трития на площадке от 0,1 до 2,0 кг. Разрабатываемые системы инжекции нейтралов ориентированы на использование положительных ионов для ТИН-К с суммарной мощностью до 10 МВт и отрицательных ионов с мощностью до 40 МВт для ГРУ. Соответствующие потоки нейтральных атомов достигают от 3,7·1019 до 4,6·1019 1/с. </w:t>
      </w:r>
    </w:p>
    <w:p w:rsidR="00844F19" w:rsidRPr="00844F19" w:rsidRDefault="00844F19" w:rsidP="000633F3">
      <w:pPr>
        <w:pStyle w:val="Zv-bodyreport"/>
        <w:spacing w:line="230" w:lineRule="auto"/>
      </w:pPr>
      <w:r w:rsidRPr="00844F19">
        <w:t>На более поздних этапах должны быть разработаны технические проекты СНИ [4 - 6] для ТИН-К и ГРУ, изготовлены макеты и проведена их совместная эксплуатация, в соответствии с исследовательской программой, нацеленной на эффективный отвод тепловых нагрузок с взаимодействующими с пучками и плазмой конструкций токамака, выбор оптимальной технологии формирования ионного пучка и разделение заряженных и нейтральных компонент пучка, оптимизацию архитектуры газового цикла, обоснование радиационной безопасности установки. Будут также описаны основные этапы составленной дорожной карты, ориентированной на запуск ТИН-К в 2030 и ГРУ в 2040 годах, и планируемые результаты совместного развития технологий СНИ как активного участника ТЦ ГССД.</w:t>
      </w:r>
    </w:p>
    <w:p w:rsidR="00844F19" w:rsidRPr="00844F19" w:rsidRDefault="00844F19" w:rsidP="000633F3">
      <w:pPr>
        <w:pStyle w:val="Zv-bodyreport"/>
        <w:spacing w:line="230" w:lineRule="auto"/>
      </w:pPr>
      <w:r w:rsidRPr="00844F19">
        <w:t>Работа поддержана Национальным исследовательским центром «Курчатовский институт».</w:t>
      </w:r>
    </w:p>
    <w:p w:rsidR="00844F19" w:rsidRPr="00371FF7" w:rsidRDefault="00844F19" w:rsidP="000633F3">
      <w:pPr>
        <w:pStyle w:val="Zv-TitleReferences-ru"/>
        <w:spacing w:line="230" w:lineRule="auto"/>
      </w:pPr>
      <w:r w:rsidRPr="00371FF7">
        <w:t>Литература</w:t>
      </w:r>
    </w:p>
    <w:p w:rsidR="00844F19" w:rsidRPr="00844F19" w:rsidRDefault="00844F19" w:rsidP="000633F3">
      <w:pPr>
        <w:pStyle w:val="Zv-References-ru"/>
        <w:spacing w:line="230" w:lineRule="auto"/>
      </w:pPr>
      <w:r w:rsidRPr="007A6F11">
        <w:rPr>
          <w:lang w:val="en-US"/>
        </w:rPr>
        <w:t xml:space="preserve">Kuteev B.V. &amp; Goncharov P.R. // Fusion Sci. </w:t>
      </w:r>
      <w:r w:rsidRPr="00844F19">
        <w:t>Technol., vol.76, p.836–847, 2020.</w:t>
      </w:r>
    </w:p>
    <w:p w:rsidR="00844F19" w:rsidRPr="00844F19" w:rsidRDefault="00844F19" w:rsidP="000633F3">
      <w:pPr>
        <w:pStyle w:val="Zv-References-ru"/>
        <w:spacing w:line="230" w:lineRule="auto"/>
      </w:pPr>
      <w:r w:rsidRPr="007A6F11">
        <w:rPr>
          <w:lang w:val="en-US"/>
        </w:rPr>
        <w:t xml:space="preserve">Kuteev B.V., Shpanskiy Yu.S.  </w:t>
      </w:r>
      <w:r w:rsidRPr="00844F19">
        <w:t>et al //ВАНТ. Сер. Терм. синтез, т. 44, вып. 2, c. 7-14, 2021.</w:t>
      </w:r>
    </w:p>
    <w:p w:rsidR="00844F19" w:rsidRPr="00844F19" w:rsidRDefault="00844F19" w:rsidP="000633F3">
      <w:pPr>
        <w:pStyle w:val="Zv-References-ru"/>
        <w:spacing w:line="230" w:lineRule="auto"/>
      </w:pPr>
      <w:r w:rsidRPr="007A6F11">
        <w:rPr>
          <w:lang w:val="en-US"/>
        </w:rPr>
        <w:t xml:space="preserve">Kuteev B.V., Azizov E.A. et al. // Nucl. </w:t>
      </w:r>
      <w:r w:rsidRPr="00844F19">
        <w:t>Fusion 51 (2011) 073013 (6pp).</w:t>
      </w:r>
    </w:p>
    <w:p w:rsidR="00844F19" w:rsidRPr="00844F19" w:rsidRDefault="00844F19" w:rsidP="000633F3">
      <w:pPr>
        <w:pStyle w:val="Zv-References-ru"/>
        <w:spacing w:line="230" w:lineRule="auto"/>
      </w:pPr>
      <w:r w:rsidRPr="00844F19">
        <w:t>Ананьев С.С., Длугач Е.Д. и др., ВАНТ. Сер. Терм. синтез, 2018, т. 41, вып. 1, с. 5.</w:t>
      </w:r>
    </w:p>
    <w:p w:rsidR="00844F19" w:rsidRPr="007A6F11" w:rsidRDefault="00844F19" w:rsidP="000633F3">
      <w:pPr>
        <w:pStyle w:val="Zv-References-ru"/>
        <w:spacing w:line="230" w:lineRule="auto"/>
        <w:rPr>
          <w:lang w:val="en-US"/>
        </w:rPr>
      </w:pPr>
      <w:r w:rsidRPr="007A6F11">
        <w:rPr>
          <w:lang w:val="en-US"/>
        </w:rPr>
        <w:t>Ananyev S.S., Dlougach E.D. et al // Fusion Engineering and Design 161 (2020) 112064.</w:t>
      </w:r>
    </w:p>
    <w:p w:rsidR="00844F19" w:rsidRPr="00844F19" w:rsidRDefault="00844F19" w:rsidP="000633F3">
      <w:pPr>
        <w:pStyle w:val="Zv-References-ru"/>
        <w:spacing w:line="230" w:lineRule="auto"/>
      </w:pPr>
      <w:r w:rsidRPr="007A6F11">
        <w:rPr>
          <w:lang w:val="en-US"/>
        </w:rPr>
        <w:t xml:space="preserve">Panasenkov A.A., Ananyev S.S., </w:t>
      </w:r>
      <w:r w:rsidRPr="00844F19">
        <w:t>и</w:t>
      </w:r>
      <w:r w:rsidRPr="007A6F11">
        <w:rPr>
          <w:lang w:val="en-US"/>
        </w:rPr>
        <w:t xml:space="preserve"> </w:t>
      </w:r>
      <w:r w:rsidRPr="00844F19">
        <w:t>др</w:t>
      </w:r>
      <w:r w:rsidRPr="007A6F11">
        <w:rPr>
          <w:lang w:val="en-US"/>
        </w:rPr>
        <w:t xml:space="preserve">. // </w:t>
      </w:r>
      <w:r w:rsidRPr="00844F19">
        <w:t>ВАНТ</w:t>
      </w:r>
      <w:r w:rsidRPr="007A6F11">
        <w:rPr>
          <w:lang w:val="en-US"/>
        </w:rPr>
        <w:t xml:space="preserve">. </w:t>
      </w:r>
      <w:r w:rsidRPr="00844F19">
        <w:t>Сер</w:t>
      </w:r>
      <w:r w:rsidRPr="007A6F11">
        <w:rPr>
          <w:lang w:val="en-US"/>
        </w:rPr>
        <w:t xml:space="preserve">. </w:t>
      </w:r>
      <w:r w:rsidRPr="00844F19">
        <w:t>Терм. синтез, 2021, 44 (2), 86–99.</w:t>
      </w:r>
    </w:p>
    <w:sectPr w:rsidR="00844F19" w:rsidRPr="00844F1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36" w:rsidRDefault="00D34A36">
      <w:r>
        <w:separator/>
      </w:r>
    </w:p>
  </w:endnote>
  <w:endnote w:type="continuationSeparator" w:id="0">
    <w:p w:rsidR="00D34A36" w:rsidRDefault="00D3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7D54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547298"/>
      <w:docPartObj>
        <w:docPartGallery w:val="Page Numbers (Bottom of Page)"/>
        <w:docPartUnique/>
      </w:docPartObj>
    </w:sdtPr>
    <w:sdtContent>
      <w:p w:rsidR="007A6F11" w:rsidRDefault="007A6F11">
        <w:pPr>
          <w:pStyle w:val="a4"/>
          <w:jc w:val="center"/>
        </w:pPr>
        <w:r>
          <w:rPr>
            <w:lang w:val="en-US"/>
          </w:rPr>
          <w:t>98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36" w:rsidRDefault="00D34A36">
      <w:r>
        <w:separator/>
      </w:r>
    </w:p>
  </w:footnote>
  <w:footnote w:type="continuationSeparator" w:id="0">
    <w:p w:rsidR="00D34A36" w:rsidRDefault="00D34A36">
      <w:r>
        <w:continuationSeparator/>
      </w:r>
    </w:p>
  </w:footnote>
  <w:footnote w:id="1">
    <w:p w:rsidR="000633F3" w:rsidRPr="000633F3" w:rsidRDefault="000633F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0633F3">
        <w:t xml:space="preserve"> </w:t>
      </w:r>
      <w:hyperlink r:id="rId1" w:history="1">
        <w:r w:rsidRPr="000633F3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A6F11">
      <w:rPr>
        <w:sz w:val="20"/>
      </w:rPr>
      <w:t>14</w:t>
    </w:r>
    <w:r w:rsidR="00C62CFE">
      <w:rPr>
        <w:sz w:val="20"/>
      </w:rPr>
      <w:t xml:space="preserve"> – </w:t>
    </w:r>
    <w:r w:rsidR="00C62CFE" w:rsidRPr="007A6F1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A6F1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87D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F67"/>
    <w:rsid w:val="00037DCC"/>
    <w:rsid w:val="00043701"/>
    <w:rsid w:val="000633F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7F67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6F11"/>
    <w:rsid w:val="007B6378"/>
    <w:rsid w:val="00802D35"/>
    <w:rsid w:val="00824689"/>
    <w:rsid w:val="00844F19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7D54"/>
    <w:rsid w:val="00CA791E"/>
    <w:rsid w:val="00CE0E75"/>
    <w:rsid w:val="00D34A36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844F19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44F1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6F11"/>
    <w:rPr>
      <w:sz w:val="24"/>
      <w:szCs w:val="24"/>
    </w:rPr>
  </w:style>
  <w:style w:type="paragraph" w:styleId="a9">
    <w:name w:val="footnote text"/>
    <w:basedOn w:val="a"/>
    <w:link w:val="aa"/>
    <w:rsid w:val="000633F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633F3"/>
  </w:style>
  <w:style w:type="character" w:styleId="ab">
    <w:name w:val="footnote reference"/>
    <w:basedOn w:val="a0"/>
    <w:rsid w:val="000633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yev_S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R-Anan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2E77-C131-47D2-BE87-1377CF8E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473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ПРОГРАММЫ РАЗВИТИЯ ТЕХНОЛОГИЙ ДОПОЛНИТЕЛЬНОГО НАГРЕВА И ТОПЛИВНОЙ ИНЖЕКЦИИ В ВИДЕ ПУЧКА БЫСТРЫХ АТОМОВ ДЛЯ ГССД В РФ</vt:lpstr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ПРОГРАММЫ РАЗВИТИЯ ТЕХНОЛОГИЙ ДОПОЛНИТЕЛЬНОГО НАГРЕВА И ТОПЛИВНОЙ ИНЖЕКЦИИ В ВИДЕ ПУЧКА БЫСТРЫХ АТОМОВ ДЛЯ ГССД В РФ</dc:title>
  <dc:creator/>
  <cp:lastModifiedBy>Сатунин</cp:lastModifiedBy>
  <cp:revision>3</cp:revision>
  <cp:lastPrinted>1601-01-01T00:00:00Z</cp:lastPrinted>
  <dcterms:created xsi:type="dcterms:W3CDTF">2022-02-25T11:25:00Z</dcterms:created>
  <dcterms:modified xsi:type="dcterms:W3CDTF">2022-03-28T12:36:00Z</dcterms:modified>
</cp:coreProperties>
</file>