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BC2" w:rsidRPr="00666F72" w:rsidRDefault="004240E8" w:rsidP="00914BC2">
      <w:pPr>
        <w:pStyle w:val="Zv-Titlereport"/>
      </w:pPr>
      <w:r w:rsidRPr="004240E8">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4240E8" w:rsidRPr="0095603D" w:rsidRDefault="004240E8" w:rsidP="003B6459">
                  <w:pPr>
                    <w:spacing w:before="80"/>
                    <w:rPr>
                      <w:sz w:val="22"/>
                      <w:szCs w:val="22"/>
                    </w:rPr>
                  </w:pPr>
                  <w:r w:rsidRPr="0095603D">
                    <w:rPr>
                      <w:sz w:val="22"/>
                      <w:szCs w:val="22"/>
                    </w:rPr>
                    <w:t>DOI:</w:t>
                  </w:r>
                  <w:r>
                    <w:rPr>
                      <w:sz w:val="22"/>
                      <w:szCs w:val="22"/>
                    </w:rPr>
                    <w:t xml:space="preserve"> </w:t>
                  </w:r>
                  <w:r w:rsidRPr="004240E8">
                    <w:rPr>
                      <w:sz w:val="22"/>
                      <w:szCs w:val="22"/>
                    </w:rPr>
                    <w:t>10.34854/ICPAF.2022.49.1.061</w:t>
                  </w:r>
                </w:p>
              </w:txbxContent>
            </v:textbox>
            <w10:anchorlock/>
          </v:shape>
        </w:pict>
      </w:r>
      <w:r w:rsidR="00914BC2">
        <w:rPr>
          <w:lang w:val="en-US"/>
        </w:rPr>
        <w:t>MEPhIST</w:t>
      </w:r>
      <w:r w:rsidR="00914BC2" w:rsidRPr="00666F72">
        <w:t xml:space="preserve">-0 </w:t>
      </w:r>
      <w:r w:rsidR="00914BC2">
        <w:rPr>
          <w:lang w:val="en-US"/>
        </w:rPr>
        <w:t>tokamak</w:t>
      </w:r>
      <w:r w:rsidR="00914BC2" w:rsidRPr="00666F72">
        <w:t xml:space="preserve">: </w:t>
      </w:r>
      <w:r w:rsidR="00914BC2">
        <w:rPr>
          <w:lang w:val="en-US"/>
        </w:rPr>
        <w:t>First</w:t>
      </w:r>
      <w:r w:rsidR="00914BC2" w:rsidRPr="00666F72">
        <w:t xml:space="preserve"> </w:t>
      </w:r>
      <w:r w:rsidR="00914BC2">
        <w:rPr>
          <w:lang w:val="en-US"/>
        </w:rPr>
        <w:t>results</w:t>
      </w:r>
      <w:r>
        <w:rPr>
          <w:lang w:val="en-US"/>
        </w:rPr>
        <w:t xml:space="preserve"> </w:t>
      </w:r>
      <w:r>
        <w:rPr>
          <w:rStyle w:val="aa"/>
          <w:lang w:val="en-US"/>
        </w:rPr>
        <w:footnoteReference w:customMarkFollows="1" w:id="1"/>
        <w:t>*)</w:t>
      </w:r>
    </w:p>
    <w:p w:rsidR="00914BC2" w:rsidRPr="00914BC2" w:rsidRDefault="00914BC2" w:rsidP="00914BC2">
      <w:pPr>
        <w:pStyle w:val="Zv-Author"/>
      </w:pPr>
      <w:r w:rsidRPr="00914BC2">
        <w:rPr>
          <w:vertAlign w:val="superscript"/>
        </w:rPr>
        <w:t>1</w:t>
      </w:r>
      <w:r>
        <w:rPr>
          <w:u w:val="single"/>
          <w:lang w:val="en-US"/>
        </w:rPr>
        <w:t>Krat</w:t>
      </w:r>
      <w:r w:rsidRPr="00914BC2">
        <w:rPr>
          <w:u w:val="single"/>
        </w:rPr>
        <w:t xml:space="preserve"> </w:t>
      </w:r>
      <w:r>
        <w:rPr>
          <w:u w:val="single"/>
          <w:lang w:val="en-US"/>
        </w:rPr>
        <w:t>S</w:t>
      </w:r>
      <w:r w:rsidRPr="00666F72">
        <w:rPr>
          <w:u w:val="single"/>
        </w:rPr>
        <w:t>.</w:t>
      </w:r>
      <w:r w:rsidRPr="00C37237">
        <w:rPr>
          <w:u w:val="single"/>
        </w:rPr>
        <w:t>А</w:t>
      </w:r>
      <w:r w:rsidRPr="00666F72">
        <w:rPr>
          <w:u w:val="single"/>
        </w:rPr>
        <w:t>.</w:t>
      </w:r>
      <w:r w:rsidRPr="00666F72">
        <w:t xml:space="preserve">, </w:t>
      </w:r>
      <w:r w:rsidRPr="00666F72">
        <w:rPr>
          <w:vertAlign w:val="superscript"/>
        </w:rPr>
        <w:t>1</w:t>
      </w:r>
      <w:r>
        <w:rPr>
          <w:lang w:val="en-US"/>
        </w:rPr>
        <w:t>Prishvitsyn</w:t>
      </w:r>
      <w:r w:rsidRPr="00914BC2">
        <w:t xml:space="preserve"> </w:t>
      </w:r>
      <w:r w:rsidRPr="00C37237">
        <w:t>А</w:t>
      </w:r>
      <w:r w:rsidRPr="00666F72">
        <w:t>.</w:t>
      </w:r>
      <w:r>
        <w:rPr>
          <w:lang w:val="en-US"/>
        </w:rPr>
        <w:t>S</w:t>
      </w:r>
      <w:r w:rsidRPr="00666F72">
        <w:t xml:space="preserve">., </w:t>
      </w:r>
      <w:r w:rsidRPr="00666F72">
        <w:rPr>
          <w:vertAlign w:val="superscript"/>
        </w:rPr>
        <w:t>1</w:t>
      </w:r>
      <w:r>
        <w:rPr>
          <w:lang w:val="en-US"/>
        </w:rPr>
        <w:t>Alieva</w:t>
      </w:r>
      <w:r w:rsidRPr="00914BC2">
        <w:t xml:space="preserve"> </w:t>
      </w:r>
      <w:r w:rsidRPr="00C37237">
        <w:t>А</w:t>
      </w:r>
      <w:r w:rsidRPr="00666F72">
        <w:t>.</w:t>
      </w:r>
      <w:r>
        <w:rPr>
          <w:lang w:val="en-US"/>
        </w:rPr>
        <w:t>I</w:t>
      </w:r>
      <w:r w:rsidRPr="00666F72">
        <w:t xml:space="preserve">., </w:t>
      </w:r>
      <w:r w:rsidRPr="00666F72">
        <w:rPr>
          <w:vertAlign w:val="superscript"/>
        </w:rPr>
        <w:t>1</w:t>
      </w:r>
      <w:r>
        <w:rPr>
          <w:lang w:val="en-US"/>
        </w:rPr>
        <w:t>Efimov</w:t>
      </w:r>
      <w:r w:rsidRPr="00914BC2">
        <w:t xml:space="preserve"> </w:t>
      </w:r>
      <w:r>
        <w:rPr>
          <w:lang w:val="en-US"/>
        </w:rPr>
        <w:t>N</w:t>
      </w:r>
      <w:r w:rsidRPr="00666F72">
        <w:t>.</w:t>
      </w:r>
      <w:r w:rsidRPr="00C37237">
        <w:t>Е</w:t>
      </w:r>
      <w:r w:rsidRPr="00666F72">
        <w:t xml:space="preserve">., </w:t>
      </w:r>
      <w:r w:rsidRPr="00666F72">
        <w:rPr>
          <w:vertAlign w:val="superscript"/>
        </w:rPr>
        <w:t>1</w:t>
      </w:r>
      <w:r>
        <w:rPr>
          <w:lang w:val="en-US"/>
        </w:rPr>
        <w:t>Vinitskiy</w:t>
      </w:r>
      <w:r w:rsidRPr="00914BC2">
        <w:t xml:space="preserve"> </w:t>
      </w:r>
      <w:r w:rsidRPr="00C37237">
        <w:t>Е</w:t>
      </w:r>
      <w:r w:rsidRPr="00666F72">
        <w:t>.</w:t>
      </w:r>
      <w:r w:rsidRPr="00C37237">
        <w:t>А</w:t>
      </w:r>
      <w:r w:rsidRPr="00666F72">
        <w:t xml:space="preserve">., </w:t>
      </w:r>
      <w:r w:rsidRPr="00666F72">
        <w:rPr>
          <w:vertAlign w:val="superscript"/>
        </w:rPr>
        <w:t>1,2</w:t>
      </w:r>
      <w:r>
        <w:rPr>
          <w:lang w:val="en-US"/>
        </w:rPr>
        <w:t>Ulasevich</w:t>
      </w:r>
      <w:r w:rsidR="000A372A">
        <w:rPr>
          <w:lang w:val="en-US"/>
        </w:rPr>
        <w:t> </w:t>
      </w:r>
      <w:r>
        <w:rPr>
          <w:lang w:val="en-US"/>
        </w:rPr>
        <w:t>D</w:t>
      </w:r>
      <w:r w:rsidRPr="00666F72">
        <w:t>.</w:t>
      </w:r>
      <w:r>
        <w:rPr>
          <w:lang w:val="en-US"/>
        </w:rPr>
        <w:t>L</w:t>
      </w:r>
      <w:r w:rsidRPr="00666F72">
        <w:t xml:space="preserve">., </w:t>
      </w:r>
      <w:r w:rsidRPr="00666F72">
        <w:rPr>
          <w:vertAlign w:val="superscript"/>
        </w:rPr>
        <w:t>1</w:t>
      </w:r>
      <w:r>
        <w:rPr>
          <w:lang w:val="en-US"/>
        </w:rPr>
        <w:t>Izarova</w:t>
      </w:r>
      <w:r w:rsidRPr="00914BC2">
        <w:t xml:space="preserve"> </w:t>
      </w:r>
      <w:r w:rsidRPr="00C37237">
        <w:t>А</w:t>
      </w:r>
      <w:r w:rsidRPr="00666F72">
        <w:t>.</w:t>
      </w:r>
      <w:r>
        <w:rPr>
          <w:lang w:val="en-US"/>
        </w:rPr>
        <w:t>D</w:t>
      </w:r>
      <w:r w:rsidRPr="00666F72">
        <w:t xml:space="preserve">., </w:t>
      </w:r>
      <w:r w:rsidRPr="00666F72">
        <w:rPr>
          <w:vertAlign w:val="superscript"/>
        </w:rPr>
        <w:t>1</w:t>
      </w:r>
      <w:r>
        <w:rPr>
          <w:lang w:val="en-US"/>
        </w:rPr>
        <w:t>Podolyako</w:t>
      </w:r>
      <w:r w:rsidRPr="00914BC2">
        <w:t xml:space="preserve"> </w:t>
      </w:r>
      <w:r>
        <w:rPr>
          <w:lang w:val="en-US"/>
        </w:rPr>
        <w:t>F</w:t>
      </w:r>
      <w:r w:rsidRPr="00666F72">
        <w:t>.</w:t>
      </w:r>
      <w:r>
        <w:rPr>
          <w:lang w:val="en-US"/>
        </w:rPr>
        <w:t>S</w:t>
      </w:r>
      <w:r w:rsidRPr="00666F72">
        <w:t xml:space="preserve">., </w:t>
      </w:r>
      <w:r w:rsidRPr="00666F72">
        <w:rPr>
          <w:vertAlign w:val="superscript"/>
        </w:rPr>
        <w:t>1</w:t>
      </w:r>
      <w:r>
        <w:rPr>
          <w:lang w:val="en-US"/>
        </w:rPr>
        <w:t>Perevozchikova</w:t>
      </w:r>
      <w:r w:rsidRPr="00914BC2">
        <w:t xml:space="preserve"> </w:t>
      </w:r>
      <w:r w:rsidRPr="00C37237">
        <w:t>О</w:t>
      </w:r>
      <w:r w:rsidRPr="00666F72">
        <w:t>.</w:t>
      </w:r>
      <w:r w:rsidRPr="00C37237">
        <w:t>А</w:t>
      </w:r>
      <w:r w:rsidRPr="00666F72">
        <w:t xml:space="preserve">., </w:t>
      </w:r>
      <w:r w:rsidRPr="00666F72">
        <w:rPr>
          <w:vertAlign w:val="superscript"/>
        </w:rPr>
        <w:t>1,3</w:t>
      </w:r>
      <w:r>
        <w:rPr>
          <w:lang w:val="en-US"/>
        </w:rPr>
        <w:t>Mesheryakov</w:t>
      </w:r>
      <w:r w:rsidR="000A372A">
        <w:rPr>
          <w:lang w:val="en-US"/>
        </w:rPr>
        <w:t> </w:t>
      </w:r>
      <w:r w:rsidRPr="00C37237">
        <w:t>А</w:t>
      </w:r>
      <w:r w:rsidRPr="00666F72">
        <w:t>.</w:t>
      </w:r>
      <w:r>
        <w:rPr>
          <w:lang w:val="en-US"/>
        </w:rPr>
        <w:t>I</w:t>
      </w:r>
      <w:r w:rsidRPr="00666F72">
        <w:t xml:space="preserve">., </w:t>
      </w:r>
      <w:r w:rsidRPr="00666F72">
        <w:rPr>
          <w:vertAlign w:val="superscript"/>
        </w:rPr>
        <w:t>1,4</w:t>
      </w:r>
      <w:r>
        <w:rPr>
          <w:lang w:val="en-US"/>
        </w:rPr>
        <w:t>Sorokin</w:t>
      </w:r>
      <w:r w:rsidRPr="00914BC2">
        <w:t xml:space="preserve"> </w:t>
      </w:r>
      <w:r>
        <w:rPr>
          <w:lang w:val="en-US"/>
        </w:rPr>
        <w:t>I</w:t>
      </w:r>
      <w:r w:rsidRPr="00666F72">
        <w:t>.</w:t>
      </w:r>
      <w:r w:rsidRPr="00C37237">
        <w:t>А</w:t>
      </w:r>
      <w:r w:rsidRPr="00666F72">
        <w:t xml:space="preserve">., </w:t>
      </w:r>
      <w:r w:rsidRPr="00666F72">
        <w:rPr>
          <w:vertAlign w:val="superscript"/>
        </w:rPr>
        <w:t>1,2</w:t>
      </w:r>
      <w:r>
        <w:rPr>
          <w:lang w:val="en-US"/>
        </w:rPr>
        <w:t>Melnikov</w:t>
      </w:r>
      <w:r w:rsidRPr="00914BC2">
        <w:t xml:space="preserve"> </w:t>
      </w:r>
      <w:r w:rsidRPr="00C37237">
        <w:t>А</w:t>
      </w:r>
      <w:r w:rsidRPr="00666F72">
        <w:t>.</w:t>
      </w:r>
      <w:r>
        <w:rPr>
          <w:lang w:val="en-US"/>
        </w:rPr>
        <w:t>V</w:t>
      </w:r>
      <w:r w:rsidRPr="00666F72">
        <w:t xml:space="preserve">., </w:t>
      </w:r>
      <w:r w:rsidRPr="00666F72">
        <w:rPr>
          <w:vertAlign w:val="superscript"/>
        </w:rPr>
        <w:t>1</w:t>
      </w:r>
      <w:r>
        <w:rPr>
          <w:lang w:val="en-US"/>
        </w:rPr>
        <w:t>Grunin</w:t>
      </w:r>
      <w:r w:rsidRPr="00914BC2">
        <w:t xml:space="preserve"> </w:t>
      </w:r>
      <w:r w:rsidRPr="00C37237">
        <w:t>А</w:t>
      </w:r>
      <w:r w:rsidRPr="00666F72">
        <w:t>.</w:t>
      </w:r>
      <w:r>
        <w:rPr>
          <w:lang w:val="en-US"/>
        </w:rPr>
        <w:t>V</w:t>
      </w:r>
      <w:r w:rsidRPr="00666F72">
        <w:t xml:space="preserve">., </w:t>
      </w:r>
      <w:r w:rsidRPr="00666F72">
        <w:rPr>
          <w:vertAlign w:val="superscript"/>
        </w:rPr>
        <w:t>1</w:t>
      </w:r>
      <w:r>
        <w:rPr>
          <w:lang w:val="en-US"/>
        </w:rPr>
        <w:t>Begrambekov</w:t>
      </w:r>
      <w:r w:rsidRPr="00914BC2">
        <w:t xml:space="preserve"> </w:t>
      </w:r>
      <w:r>
        <w:rPr>
          <w:lang w:val="en-US"/>
        </w:rPr>
        <w:t>L</w:t>
      </w:r>
      <w:r w:rsidRPr="00666F72">
        <w:t>.</w:t>
      </w:r>
      <w:r>
        <w:rPr>
          <w:lang w:val="en-US"/>
        </w:rPr>
        <w:t>B</w:t>
      </w:r>
      <w:r w:rsidRPr="00666F72">
        <w:t xml:space="preserve">., </w:t>
      </w:r>
      <w:r w:rsidRPr="00666F72">
        <w:rPr>
          <w:vertAlign w:val="superscript"/>
        </w:rPr>
        <w:t>1</w:t>
      </w:r>
      <w:r>
        <w:rPr>
          <w:lang w:val="en-US"/>
        </w:rPr>
        <w:t>Kaziev</w:t>
      </w:r>
      <w:r w:rsidRPr="00914BC2">
        <w:t xml:space="preserve"> </w:t>
      </w:r>
      <w:r w:rsidRPr="00C37237">
        <w:t>А</w:t>
      </w:r>
      <w:r w:rsidRPr="00666F72">
        <w:t>.</w:t>
      </w:r>
      <w:r>
        <w:rPr>
          <w:lang w:val="en-US"/>
        </w:rPr>
        <w:t>V</w:t>
      </w:r>
      <w:r w:rsidRPr="00666F72">
        <w:t xml:space="preserve">., </w:t>
      </w:r>
      <w:r w:rsidRPr="00666F72">
        <w:rPr>
          <w:vertAlign w:val="superscript"/>
        </w:rPr>
        <w:t>1,4</w:t>
      </w:r>
      <w:r>
        <w:rPr>
          <w:lang w:val="en-US"/>
        </w:rPr>
        <w:t>Kolodko</w:t>
      </w:r>
      <w:r w:rsidRPr="00914BC2">
        <w:t xml:space="preserve"> </w:t>
      </w:r>
      <w:r>
        <w:rPr>
          <w:lang w:val="en-US"/>
        </w:rPr>
        <w:t>D</w:t>
      </w:r>
      <w:r w:rsidRPr="00666F72">
        <w:t>.</w:t>
      </w:r>
      <w:r>
        <w:rPr>
          <w:lang w:val="en-US"/>
        </w:rPr>
        <w:t>V</w:t>
      </w:r>
      <w:r w:rsidRPr="00666F72">
        <w:t xml:space="preserve">., </w:t>
      </w:r>
      <w:r w:rsidRPr="00666F72">
        <w:rPr>
          <w:vertAlign w:val="superscript"/>
        </w:rPr>
        <w:t>1</w:t>
      </w:r>
      <w:r>
        <w:rPr>
          <w:lang w:val="en-US"/>
        </w:rPr>
        <w:t>Isakova</w:t>
      </w:r>
      <w:r w:rsidRPr="00914BC2">
        <w:t xml:space="preserve"> </w:t>
      </w:r>
      <w:r w:rsidRPr="00C37237">
        <w:t>А</w:t>
      </w:r>
      <w:r w:rsidRPr="00666F72">
        <w:t>.</w:t>
      </w:r>
      <w:r>
        <w:rPr>
          <w:lang w:val="en-US"/>
        </w:rPr>
        <w:t>S</w:t>
      </w:r>
      <w:r w:rsidRPr="00666F72">
        <w:t xml:space="preserve">., </w:t>
      </w:r>
      <w:r w:rsidRPr="00666F72">
        <w:rPr>
          <w:vertAlign w:val="superscript"/>
        </w:rPr>
        <w:t>1</w:t>
      </w:r>
      <w:r>
        <w:rPr>
          <w:lang w:val="en-US"/>
        </w:rPr>
        <w:t>Belov</w:t>
      </w:r>
      <w:r w:rsidRPr="00914BC2">
        <w:t xml:space="preserve"> </w:t>
      </w:r>
      <w:r w:rsidRPr="00C37237">
        <w:t>А</w:t>
      </w:r>
      <w:r w:rsidRPr="00666F72">
        <w:t>.</w:t>
      </w:r>
      <w:r>
        <w:rPr>
          <w:lang w:val="en-US"/>
        </w:rPr>
        <w:t>S</w:t>
      </w:r>
      <w:r w:rsidRPr="00666F72">
        <w:t xml:space="preserve">., </w:t>
      </w:r>
      <w:r w:rsidRPr="00666F72">
        <w:rPr>
          <w:vertAlign w:val="superscript"/>
        </w:rPr>
        <w:t>1</w:t>
      </w:r>
      <w:r>
        <w:rPr>
          <w:lang w:val="en-US"/>
        </w:rPr>
        <w:t>Gubskiy</w:t>
      </w:r>
      <w:r w:rsidRPr="00914BC2">
        <w:t xml:space="preserve"> </w:t>
      </w:r>
      <w:r>
        <w:rPr>
          <w:lang w:val="en-US"/>
        </w:rPr>
        <w:t>K</w:t>
      </w:r>
      <w:r w:rsidRPr="00666F72">
        <w:t>.</w:t>
      </w:r>
      <w:r>
        <w:rPr>
          <w:lang w:val="en-US"/>
        </w:rPr>
        <w:t>L</w:t>
      </w:r>
      <w:r w:rsidRPr="00666F72">
        <w:t xml:space="preserve">., </w:t>
      </w:r>
      <w:r w:rsidRPr="00666F72">
        <w:rPr>
          <w:vertAlign w:val="superscript"/>
        </w:rPr>
        <w:t>1</w:t>
      </w:r>
      <w:r w:rsidRPr="00914BC2">
        <w:rPr>
          <w:vertAlign w:val="superscript"/>
        </w:rPr>
        <w:t>,5</w:t>
      </w:r>
      <w:r>
        <w:rPr>
          <w:lang w:val="en-US"/>
        </w:rPr>
        <w:t>Ongena</w:t>
      </w:r>
      <w:r w:rsidRPr="00914BC2">
        <w:t xml:space="preserve"> </w:t>
      </w:r>
      <w:r>
        <w:rPr>
          <w:lang w:val="en-US"/>
        </w:rPr>
        <w:t>J</w:t>
      </w:r>
      <w:r w:rsidRPr="00666F72">
        <w:t>.</w:t>
      </w:r>
    </w:p>
    <w:p w:rsidR="00914BC2" w:rsidRPr="00A16D7E" w:rsidRDefault="00914BC2" w:rsidP="00914BC2">
      <w:pPr>
        <w:pStyle w:val="Zv-Organization"/>
        <w:rPr>
          <w:lang w:val="en-US"/>
        </w:rPr>
      </w:pPr>
      <w:r w:rsidRPr="00C37237">
        <w:rPr>
          <w:vertAlign w:val="superscript"/>
          <w:lang w:val="en-US"/>
        </w:rPr>
        <w:t>1</w:t>
      </w:r>
      <w:r>
        <w:rPr>
          <w:lang w:val="en-US"/>
        </w:rPr>
        <w:t>National</w:t>
      </w:r>
      <w:r w:rsidRPr="00C37237">
        <w:rPr>
          <w:lang w:val="en-US"/>
        </w:rPr>
        <w:t xml:space="preserve"> </w:t>
      </w:r>
      <w:r>
        <w:rPr>
          <w:lang w:val="en-US"/>
        </w:rPr>
        <w:t>research</w:t>
      </w:r>
      <w:r w:rsidRPr="00C37237">
        <w:rPr>
          <w:lang w:val="en-US"/>
        </w:rPr>
        <w:t xml:space="preserve"> </w:t>
      </w:r>
      <w:r>
        <w:rPr>
          <w:lang w:val="en-US"/>
        </w:rPr>
        <w:t>nuclear</w:t>
      </w:r>
      <w:r w:rsidRPr="00C37237">
        <w:rPr>
          <w:lang w:val="en-US"/>
        </w:rPr>
        <w:t xml:space="preserve"> </w:t>
      </w:r>
      <w:r>
        <w:rPr>
          <w:lang w:val="en-US"/>
        </w:rPr>
        <w:t>university</w:t>
      </w:r>
      <w:r w:rsidRPr="00C37237">
        <w:rPr>
          <w:lang w:val="en-US"/>
        </w:rPr>
        <w:t xml:space="preserve"> </w:t>
      </w:r>
      <w:r>
        <w:rPr>
          <w:lang w:val="en-US"/>
        </w:rPr>
        <w:t>MEPhI</w:t>
      </w:r>
      <w:r w:rsidRPr="00C37237">
        <w:rPr>
          <w:lang w:val="en-US"/>
        </w:rPr>
        <w:t xml:space="preserve"> </w:t>
      </w:r>
      <w:hyperlink r:id="rId8" w:history="1">
        <w:r w:rsidRPr="00125225">
          <w:rPr>
            <w:rStyle w:val="a7"/>
            <w:lang w:val="en-US"/>
          </w:rPr>
          <w:t>info</w:t>
        </w:r>
        <w:r w:rsidRPr="00C37237">
          <w:rPr>
            <w:rStyle w:val="a7"/>
            <w:lang w:val="en-US"/>
          </w:rPr>
          <w:t>@</w:t>
        </w:r>
        <w:r w:rsidRPr="00125225">
          <w:rPr>
            <w:rStyle w:val="a7"/>
            <w:lang w:val="en-US"/>
          </w:rPr>
          <w:t>mephi</w:t>
        </w:r>
        <w:r w:rsidRPr="00C37237">
          <w:rPr>
            <w:rStyle w:val="a7"/>
            <w:lang w:val="en-US"/>
          </w:rPr>
          <w:t>.</w:t>
        </w:r>
        <w:r w:rsidRPr="00125225">
          <w:rPr>
            <w:rStyle w:val="a7"/>
            <w:lang w:val="en-US"/>
          </w:rPr>
          <w:t>ru</w:t>
        </w:r>
      </w:hyperlink>
      <w:r w:rsidRPr="00C37237">
        <w:rPr>
          <w:lang w:val="en-US"/>
        </w:rPr>
        <w:br/>
      </w:r>
      <w:r w:rsidRPr="00C37237">
        <w:rPr>
          <w:vertAlign w:val="superscript"/>
          <w:lang w:val="en-US"/>
        </w:rPr>
        <w:t>2</w:t>
      </w:r>
      <w:r>
        <w:rPr>
          <w:lang w:val="en-US"/>
        </w:rPr>
        <w:t>National research center Kurchatov Institute</w:t>
      </w:r>
      <w:r w:rsidRPr="00C37237">
        <w:rPr>
          <w:lang w:val="en-US"/>
        </w:rPr>
        <w:br/>
        <w:t>3</w:t>
      </w:r>
      <w:r w:rsidRPr="006C624F">
        <w:rPr>
          <w:lang w:val="en-US"/>
        </w:rPr>
        <w:t>Prokhorov General Physics Institute of the Russian Academy of Sciences</w:t>
      </w:r>
      <w:r w:rsidRPr="006C624F">
        <w:rPr>
          <w:lang w:val="en-US"/>
        </w:rPr>
        <w:br/>
      </w:r>
      <w:r w:rsidRPr="006C624F">
        <w:rPr>
          <w:vertAlign w:val="superscript"/>
          <w:lang w:val="en-US"/>
        </w:rPr>
        <w:t>4</w:t>
      </w:r>
      <w:r w:rsidRPr="006C624F">
        <w:rPr>
          <w:lang w:val="en-US"/>
        </w:rPr>
        <w:t xml:space="preserve">Institute of Radio-engineering and Electronics </w:t>
      </w:r>
      <w:r>
        <w:rPr>
          <w:lang w:val="en-US"/>
        </w:rPr>
        <w:t>Of Russian Academy of Sciences</w:t>
      </w:r>
      <w:r>
        <w:rPr>
          <w:lang w:val="en-US"/>
        </w:rPr>
        <w:br/>
      </w:r>
      <w:r w:rsidRPr="00A16D7E">
        <w:rPr>
          <w:vertAlign w:val="superscript"/>
          <w:lang w:val="en-US"/>
        </w:rPr>
        <w:t>5</w:t>
      </w:r>
      <w:r w:rsidRPr="004150B4">
        <w:rPr>
          <w:lang w:val="en-US"/>
        </w:rPr>
        <w:t>Ecole Royale Militaire / Koninklijke Militaire School</w:t>
      </w:r>
    </w:p>
    <w:p w:rsidR="00914BC2" w:rsidRPr="00C905D9" w:rsidRDefault="00914BC2" w:rsidP="00914BC2">
      <w:pPr>
        <w:pStyle w:val="Zv-bodyreport"/>
        <w:rPr>
          <w:lang w:val="en-US"/>
        </w:rPr>
      </w:pPr>
      <w:r w:rsidRPr="00C905D9">
        <w:rPr>
          <w:lang w:val="en-US"/>
        </w:rPr>
        <w:t>Tokamak MEPhIST-0 [1] is an educational spherical tokamak created at NRNU MEPhI in 2019-2021. The large radius is 25 cm, the small radius is 13 cm, the vertical elongation of the discharge chamber is ~ 2. The expected duration of the discharge is ~ 10-30 ms. The calculated operating limits are described in [2]</w:t>
      </w:r>
    </w:p>
    <w:p w:rsidR="00914BC2" w:rsidRPr="00C905D9" w:rsidRDefault="00914BC2" w:rsidP="00914BC2">
      <w:pPr>
        <w:pStyle w:val="Zv-bodyreport"/>
        <w:rPr>
          <w:lang w:val="en-US"/>
        </w:rPr>
      </w:pPr>
      <w:r w:rsidRPr="00C905D9">
        <w:rPr>
          <w:lang w:val="en-US"/>
        </w:rPr>
        <w:t>The main tasks of the tokamak are the training of scientific personnel, the testing of diagnostics on a small scale for further work on large installations, and research in the field of plasma-surface interaction. To achieve these goals, work is underway to improve the characteristics of the tokamak, equip the tokamak with additional diagnostics.</w:t>
      </w:r>
    </w:p>
    <w:p w:rsidR="00914BC2" w:rsidRPr="00C905D9" w:rsidRDefault="00914BC2" w:rsidP="00914BC2">
      <w:pPr>
        <w:pStyle w:val="Zv-bodyreport"/>
        <w:rPr>
          <w:lang w:val="en-US"/>
        </w:rPr>
      </w:pPr>
      <w:r w:rsidRPr="00C905D9">
        <w:rPr>
          <w:lang w:val="en-US"/>
        </w:rPr>
        <w:t>For the period of 2021, the power supply of the tokamak was increased by ~ 30 times. The maximum value of the toroidal field of ~ 0.8 T was achieved. A number of magnetometric studies of tokamak systems have been carried out, the tokamak inductor has been optimized from the point of view of scattered fields. An RF antenna for ICR plasma heating was developed and manufactured, additional RF power was introduced into the discharge chamber of the tokamak. The tokamak is was with a remote control system and a separate control room.</w:t>
      </w:r>
    </w:p>
    <w:p w:rsidR="00914BC2" w:rsidRPr="00C905D9" w:rsidRDefault="00914BC2" w:rsidP="00914BC2">
      <w:pPr>
        <w:pStyle w:val="Zv-bodyreport"/>
        <w:rPr>
          <w:lang w:val="en-US"/>
        </w:rPr>
      </w:pPr>
      <w:r w:rsidRPr="00C905D9">
        <w:rPr>
          <w:lang w:val="en-US"/>
        </w:rPr>
        <w:t>To determine the plasma parameters Mirnov magnetic sensors and a Rogowski coil were installed in the discharge chamber. A diamagnetic loop and an additional Rogowski coil were installed outside the chamber. Spectroscopic viewports were installed and measurement of the chordal plasma density was realized by means of a heterodyne interferometer. Also, the signal of the H alpha line was recorded as a function of time, and the discharge was filmed at a rate of 10,000 frames per second. A universal mechanized movable prove with replaceable heads was constructed, which makes it possible to carry out probe measurements, as well as experiments on the plasma-surface interactions. The probe heads can be changed without venting the installation using a loadlock system</w:t>
      </w:r>
    </w:p>
    <w:p w:rsidR="00914BC2" w:rsidRPr="00C905D9" w:rsidRDefault="00914BC2" w:rsidP="00914BC2">
      <w:pPr>
        <w:pStyle w:val="Zv-bodyreport"/>
        <w:rPr>
          <w:lang w:val="en-US"/>
        </w:rPr>
      </w:pPr>
      <w:r w:rsidRPr="00C905D9">
        <w:rPr>
          <w:lang w:val="en-US"/>
        </w:rPr>
        <w:t>Using Langmuir probes, the parameters of the microwave pre-plasma in the near-wall region were determined. Density ~ 5 × 1010 cm-3, electron temperature ~ 8 eV.</w:t>
      </w:r>
    </w:p>
    <w:p w:rsidR="00914BC2" w:rsidRDefault="00914BC2" w:rsidP="00914BC2">
      <w:pPr>
        <w:pStyle w:val="Zv-bodyreport"/>
        <w:rPr>
          <w:lang w:val="en-US"/>
        </w:rPr>
      </w:pPr>
      <w:r w:rsidRPr="00C905D9">
        <w:rPr>
          <w:lang w:val="en-US"/>
        </w:rPr>
        <w:t>A current-carrying discharge was created. The discharge lifetime is ~ 0.4 ms, the achieved plasma current is ~ 3 kA, and the plasma density is ~ 3 × 1012 cm-3. X-rays were detected during the discharge.</w:t>
      </w:r>
    </w:p>
    <w:p w:rsidR="00914BC2" w:rsidRPr="00C905D9" w:rsidRDefault="00914BC2" w:rsidP="00914BC2">
      <w:pPr>
        <w:pStyle w:val="Zv-TitleReferences-en"/>
        <w:rPr>
          <w:lang w:val="en-US"/>
        </w:rPr>
      </w:pPr>
      <w:r w:rsidRPr="00C905D9">
        <w:rPr>
          <w:lang w:val="en-US"/>
        </w:rPr>
        <w:t>References</w:t>
      </w:r>
    </w:p>
    <w:p w:rsidR="00914BC2" w:rsidRPr="00C905D9" w:rsidRDefault="00914BC2" w:rsidP="00914BC2">
      <w:pPr>
        <w:pStyle w:val="Zv-References-en"/>
      </w:pPr>
      <w:r w:rsidRPr="00C905D9">
        <w:t>V.A. Kurnaev, G.M. Vorobyov, V.E. Nikolaeva, S.A. Krat, A. V Melnikov, D.P. Ivanov, Y.M. Gasparyan, The Project of MEPhIST Tokamak, Phys. At. Nucl. 82 (2019) 1329–1331. doi:10.1134/S1063778819100144.</w:t>
      </w:r>
    </w:p>
    <w:p w:rsidR="00914BC2" w:rsidRPr="00C905D9" w:rsidRDefault="00914BC2" w:rsidP="00914BC2">
      <w:pPr>
        <w:pStyle w:val="Zv-References-en"/>
      </w:pPr>
      <w:r w:rsidRPr="00C905D9">
        <w:t>N.A. Kirneva, G.M. Vorobjev, S.A. Ganin, A.S. Drozd, I.S. Kudashev, V.V. Kulagin, V.A. Kurnaev, WORKING AREA OF THE MEPHIST TOKAMAK: PRELIMINAR ESTIMATION, Probl. At. Sci. Technol. Ser. Thermonucl. Fusion. 43 (2020) 90–100. doi:10.21517/0202-3822-2020-43-3-90-100.</w:t>
      </w:r>
    </w:p>
    <w:sectPr w:rsidR="00914BC2" w:rsidRPr="00C905D9"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48A" w:rsidRDefault="004E248A">
      <w:r>
        <w:separator/>
      </w:r>
    </w:p>
  </w:endnote>
  <w:endnote w:type="continuationSeparator" w:id="0">
    <w:p w:rsidR="004E248A" w:rsidRDefault="004E24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956E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956E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4240E8">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48A" w:rsidRDefault="004E248A">
      <w:r>
        <w:separator/>
      </w:r>
    </w:p>
  </w:footnote>
  <w:footnote w:type="continuationSeparator" w:id="0">
    <w:p w:rsidR="004E248A" w:rsidRDefault="004E248A">
      <w:r>
        <w:continuationSeparator/>
      </w:r>
    </w:p>
  </w:footnote>
  <w:footnote w:id="1">
    <w:p w:rsidR="004240E8" w:rsidRPr="004240E8" w:rsidRDefault="004240E8">
      <w:pPr>
        <w:pStyle w:val="a8"/>
        <w:rPr>
          <w:lang w:val="en-US"/>
        </w:rPr>
      </w:pPr>
      <w:r w:rsidRPr="004240E8">
        <w:rPr>
          <w:rStyle w:val="aa"/>
          <w:lang w:val="en-US"/>
        </w:rPr>
        <w:t>*)</w:t>
      </w:r>
      <w:r w:rsidRPr="004240E8">
        <w:rPr>
          <w:lang w:val="en-US"/>
        </w:rPr>
        <w:t xml:space="preserve"> </w:t>
      </w:r>
      <w:hyperlink r:id="rId1" w:history="1">
        <w:r w:rsidRPr="004240E8">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7956E4">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1A755F"/>
    <w:rsid w:val="00043701"/>
    <w:rsid w:val="00081366"/>
    <w:rsid w:val="000A372A"/>
    <w:rsid w:val="000C657D"/>
    <w:rsid w:val="000C7078"/>
    <w:rsid w:val="000D76E9"/>
    <w:rsid w:val="000E495B"/>
    <w:rsid w:val="001A755F"/>
    <w:rsid w:val="001C0CCB"/>
    <w:rsid w:val="00205708"/>
    <w:rsid w:val="00220629"/>
    <w:rsid w:val="0023083F"/>
    <w:rsid w:val="00247225"/>
    <w:rsid w:val="003800F3"/>
    <w:rsid w:val="003A606B"/>
    <w:rsid w:val="003B5B93"/>
    <w:rsid w:val="003E0981"/>
    <w:rsid w:val="00401388"/>
    <w:rsid w:val="004240E8"/>
    <w:rsid w:val="0043297E"/>
    <w:rsid w:val="00446025"/>
    <w:rsid w:val="004A77D1"/>
    <w:rsid w:val="004B4ACC"/>
    <w:rsid w:val="004B72AA"/>
    <w:rsid w:val="004E248A"/>
    <w:rsid w:val="004F4E29"/>
    <w:rsid w:val="005074E3"/>
    <w:rsid w:val="00515724"/>
    <w:rsid w:val="00567C6F"/>
    <w:rsid w:val="00573BAD"/>
    <w:rsid w:val="0058676C"/>
    <w:rsid w:val="005A266B"/>
    <w:rsid w:val="005F0746"/>
    <w:rsid w:val="005F764D"/>
    <w:rsid w:val="006038C3"/>
    <w:rsid w:val="00654A7B"/>
    <w:rsid w:val="006B5B24"/>
    <w:rsid w:val="00732A2E"/>
    <w:rsid w:val="007956E4"/>
    <w:rsid w:val="007B09C9"/>
    <w:rsid w:val="007B6378"/>
    <w:rsid w:val="007E06CE"/>
    <w:rsid w:val="00802D35"/>
    <w:rsid w:val="008306AF"/>
    <w:rsid w:val="008520F9"/>
    <w:rsid w:val="008850EF"/>
    <w:rsid w:val="00906FF7"/>
    <w:rsid w:val="00914BC2"/>
    <w:rsid w:val="009D3AC4"/>
    <w:rsid w:val="00AE6185"/>
    <w:rsid w:val="00B622ED"/>
    <w:rsid w:val="00B9584E"/>
    <w:rsid w:val="00C103CD"/>
    <w:rsid w:val="00C232A0"/>
    <w:rsid w:val="00C5751F"/>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nhideWhenUsed/>
    <w:rsid w:val="00914BC2"/>
    <w:rPr>
      <w:color w:val="0000FF" w:themeColor="hyperlink"/>
      <w:u w:val="single"/>
    </w:rPr>
  </w:style>
  <w:style w:type="character" w:customStyle="1" w:styleId="Zv-bodyreportChar">
    <w:name w:val="Zv-body_report Char"/>
    <w:link w:val="Zv-bodyreport"/>
    <w:locked/>
    <w:rsid w:val="00914BC2"/>
    <w:rPr>
      <w:sz w:val="24"/>
      <w:szCs w:val="24"/>
    </w:rPr>
  </w:style>
  <w:style w:type="paragraph" w:styleId="a8">
    <w:name w:val="footnote text"/>
    <w:basedOn w:val="a"/>
    <w:link w:val="a9"/>
    <w:rsid w:val="004240E8"/>
    <w:rPr>
      <w:sz w:val="20"/>
      <w:szCs w:val="20"/>
    </w:rPr>
  </w:style>
  <w:style w:type="character" w:customStyle="1" w:styleId="a9">
    <w:name w:val="Текст сноски Знак"/>
    <w:basedOn w:val="a0"/>
    <w:link w:val="a8"/>
    <w:rsid w:val="004240E8"/>
  </w:style>
  <w:style w:type="character" w:styleId="aa">
    <w:name w:val="footnote reference"/>
    <w:basedOn w:val="a0"/>
    <w:rsid w:val="004240E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eph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Mu/ru/BL-Krat.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6C120A-1928-4F32-BCD6-1DF2C3056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11</TotalTime>
  <Pages>1</Pages>
  <Words>530</Words>
  <Characters>2980</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MEPHIST-0 TOKAMAK: FIRST RESULTS</vt:lpstr>
    </vt:vector>
  </TitlesOfParts>
  <Company/>
  <LinksUpToDate>false</LinksUpToDate>
  <CharactersWithSpaces>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MEPHIST-0 TOKAMAK: FIRST RESULTS</dc:title>
  <dc:creator/>
  <cp:lastModifiedBy>Сатунин</cp:lastModifiedBy>
  <cp:revision>3</cp:revision>
  <cp:lastPrinted>1601-01-01T00:00:00Z</cp:lastPrinted>
  <dcterms:created xsi:type="dcterms:W3CDTF">2022-02-24T11:33:00Z</dcterms:created>
  <dcterms:modified xsi:type="dcterms:W3CDTF">2022-03-25T18:51:00Z</dcterms:modified>
</cp:coreProperties>
</file>