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7B" w:rsidRDefault="00793A7B" w:rsidP="00793A7B">
      <w:pPr>
        <w:pStyle w:val="Zv-Titlereport"/>
        <w:rPr>
          <w:lang w:val="en-US"/>
        </w:rPr>
      </w:pPr>
      <w:bookmarkStart w:id="0" w:name="OLE_LINK27"/>
      <w:bookmarkStart w:id="1" w:name="OLE_LINK28"/>
      <w:r>
        <w:rPr>
          <w:lang w:val="en-US"/>
        </w:rPr>
        <w:t>inactivation of planctonic microorganisms and their consortiums by DC atmospheric pressure plasma jets</w:t>
      </w:r>
      <w:bookmarkEnd w:id="0"/>
      <w:bookmarkEnd w:id="1"/>
    </w:p>
    <w:p w:rsidR="00793A7B" w:rsidRDefault="00793A7B" w:rsidP="00793A7B">
      <w:pPr>
        <w:pStyle w:val="Zv-Author"/>
        <w:rPr>
          <w:lang w:val="en-US"/>
        </w:rPr>
      </w:pPr>
      <w:r>
        <w:rPr>
          <w:lang w:val="en-US"/>
        </w:rPr>
        <w:t>Kazak</w:t>
      </w:r>
      <w:r w:rsidRPr="00BD68BA">
        <w:rPr>
          <w:lang w:val="en-US"/>
        </w:rPr>
        <w:t xml:space="preserve"> </w:t>
      </w:r>
      <w:r>
        <w:rPr>
          <w:lang w:val="en-US"/>
        </w:rPr>
        <w:t xml:space="preserve">A.V., </w:t>
      </w:r>
      <w:r w:rsidRPr="00793A7B">
        <w:rPr>
          <w:lang w:val="en-US"/>
        </w:rPr>
        <w:t>Simonchik</w:t>
      </w:r>
      <w:r w:rsidRPr="00BD68BA">
        <w:rPr>
          <w:lang w:val="en-US"/>
        </w:rPr>
        <w:t xml:space="preserve"> </w:t>
      </w:r>
      <w:r>
        <w:rPr>
          <w:lang w:val="en-US"/>
        </w:rPr>
        <w:t xml:space="preserve">L.V., </w:t>
      </w:r>
      <w:r>
        <w:rPr>
          <w:vertAlign w:val="superscript"/>
          <w:lang w:val="en-US"/>
        </w:rPr>
        <w:t>1</w:t>
      </w:r>
      <w:r>
        <w:rPr>
          <w:lang w:val="en-US"/>
        </w:rPr>
        <w:t>Nezhvinskaya</w:t>
      </w:r>
      <w:r w:rsidRPr="00BD68BA">
        <w:rPr>
          <w:lang w:val="en-US"/>
        </w:rPr>
        <w:t xml:space="preserve"> </w:t>
      </w:r>
      <w:r>
        <w:rPr>
          <w:lang w:val="en-US"/>
        </w:rPr>
        <w:t xml:space="preserve">O.Ya., and </w:t>
      </w:r>
      <w:r>
        <w:rPr>
          <w:vertAlign w:val="superscript"/>
          <w:lang w:val="en-US"/>
        </w:rPr>
        <w:t>1</w:t>
      </w:r>
      <w:r>
        <w:rPr>
          <w:lang w:val="en-US"/>
        </w:rPr>
        <w:t>Dudchik</w:t>
      </w:r>
      <w:r w:rsidRPr="00BD68BA">
        <w:rPr>
          <w:lang w:val="en-US"/>
        </w:rPr>
        <w:t xml:space="preserve"> </w:t>
      </w:r>
      <w:r>
        <w:rPr>
          <w:lang w:val="en-US"/>
        </w:rPr>
        <w:t>N.V.</w:t>
      </w:r>
    </w:p>
    <w:p w:rsidR="00793A7B" w:rsidRPr="005025C9" w:rsidRDefault="00793A7B" w:rsidP="00793A7B">
      <w:pPr>
        <w:pStyle w:val="Zv-Organization"/>
        <w:rPr>
          <w:lang w:val="en-US"/>
        </w:rPr>
      </w:pPr>
      <w:bookmarkStart w:id="2" w:name="_Hlk467073157"/>
      <w:r w:rsidRPr="00EC3C8C">
        <w:rPr>
          <w:lang w:val="en-US"/>
        </w:rPr>
        <w:t xml:space="preserve">Stepanov Institute of </w:t>
      </w:r>
      <w:r w:rsidRPr="00793A7B">
        <w:rPr>
          <w:lang w:val="en-US"/>
        </w:rPr>
        <w:t>Physics</w:t>
      </w:r>
      <w:r>
        <w:rPr>
          <w:lang w:val="en-US"/>
        </w:rPr>
        <w:t xml:space="preserve">, National Academy of Sciences of </w:t>
      </w:r>
      <w:r w:rsidRPr="00EC3C8C">
        <w:rPr>
          <w:lang w:val="en-US"/>
        </w:rPr>
        <w:t>Belarus</w:t>
      </w:r>
      <w:r w:rsidRPr="00EC3C8C">
        <w:rPr>
          <w:lang w:val="es-ES_tradnl"/>
        </w:rPr>
        <w:t>,</w:t>
      </w:r>
      <w:r w:rsidRPr="003920F9">
        <w:rPr>
          <w:lang w:val="en-US"/>
        </w:rPr>
        <w:t xml:space="preserve"> </w:t>
      </w:r>
      <w:r w:rsidRPr="00EC3C8C">
        <w:rPr>
          <w:lang w:val="es-ES_tradnl"/>
        </w:rPr>
        <w:t>Minsk,</w:t>
      </w:r>
      <w:r w:rsidRPr="003920F9">
        <w:rPr>
          <w:lang w:val="en-US"/>
        </w:rPr>
        <w:t xml:space="preserve"> </w:t>
      </w:r>
      <w:r w:rsidRPr="00EC3C8C">
        <w:rPr>
          <w:lang w:val="es-ES_tradnl"/>
        </w:rPr>
        <w:t>Belarus</w:t>
      </w:r>
      <w:bookmarkEnd w:id="2"/>
      <w:r>
        <w:rPr>
          <w:lang w:val="en-US"/>
        </w:rPr>
        <w:br/>
      </w:r>
      <w:r>
        <w:rPr>
          <w:vertAlign w:val="superscript"/>
          <w:lang w:val="en-US"/>
        </w:rPr>
        <w:t>1</w:t>
      </w:r>
      <w:r>
        <w:rPr>
          <w:lang w:val="en-US"/>
        </w:rPr>
        <w:t>Republican Scientific Practical Centre of Hygiene, Minsk, Belarus</w:t>
      </w:r>
    </w:p>
    <w:p w:rsidR="00793A7B" w:rsidRPr="008B0258" w:rsidRDefault="00793A7B" w:rsidP="00793A7B">
      <w:pPr>
        <w:pStyle w:val="Zv-bodyreport"/>
        <w:rPr>
          <w:lang w:val="en-US"/>
        </w:rPr>
      </w:pPr>
      <w:r w:rsidRPr="008B0258">
        <w:rPr>
          <w:lang w:val="en-US"/>
        </w:rPr>
        <w:t>Among a variety of plasma sources for biomedical applications a special attention is focused on the plasma jets [1] due to the</w:t>
      </w:r>
      <w:r>
        <w:rPr>
          <w:lang w:val="en-US"/>
        </w:rPr>
        <w:t>ir</w:t>
      </w:r>
      <w:r w:rsidRPr="008B0258">
        <w:rPr>
          <w:lang w:val="en-US"/>
        </w:rPr>
        <w:t xml:space="preserve"> possibility to treat objects of complex shapes and sizes outside </w:t>
      </w:r>
      <w:r>
        <w:rPr>
          <w:lang w:val="en-US"/>
        </w:rPr>
        <w:t>the</w:t>
      </w:r>
      <w:r w:rsidRPr="008B0258">
        <w:rPr>
          <w:lang w:val="en-US"/>
        </w:rPr>
        <w:t xml:space="preserve"> closed discharge volume. Moreover, there is transition</w:t>
      </w:r>
      <w:r>
        <w:rPr>
          <w:lang w:val="en-US"/>
        </w:rPr>
        <w:t xml:space="preserve"> observed</w:t>
      </w:r>
      <w:r w:rsidRPr="00C557F2">
        <w:rPr>
          <w:lang w:val="en-US"/>
        </w:rPr>
        <w:t xml:space="preserve"> </w:t>
      </w:r>
      <w:r w:rsidRPr="008B0258">
        <w:rPr>
          <w:lang w:val="en-US"/>
        </w:rPr>
        <w:t>in microbiology from traditional</w:t>
      </w:r>
      <w:r>
        <w:rPr>
          <w:lang w:val="en-US"/>
        </w:rPr>
        <w:t>ly</w:t>
      </w:r>
      <w:r w:rsidRPr="008B0258">
        <w:rPr>
          <w:lang w:val="en-US"/>
        </w:rPr>
        <w:t xml:space="preserve"> considering microorganisms as single-celled organisms to </w:t>
      </w:r>
      <w:r>
        <w:rPr>
          <w:lang w:val="en-US"/>
        </w:rPr>
        <w:t xml:space="preserve">viewing </w:t>
      </w:r>
      <w:r w:rsidRPr="008B0258">
        <w:rPr>
          <w:lang w:val="en-US"/>
        </w:rPr>
        <w:t xml:space="preserve">microbial communities as the integral structures that regulate the vital functions depending on </w:t>
      </w:r>
      <w:r>
        <w:rPr>
          <w:lang w:val="en-US"/>
        </w:rPr>
        <w:t xml:space="preserve">the </w:t>
      </w:r>
      <w:r w:rsidRPr="008B0258">
        <w:rPr>
          <w:lang w:val="en-US"/>
        </w:rPr>
        <w:t xml:space="preserve">changes in environmental conditions. These factors should be considered in the development of microbial test objects to assess the impact of the plasma exposure [2]. </w:t>
      </w:r>
    </w:p>
    <w:p w:rsidR="00793A7B" w:rsidRPr="00D84948" w:rsidRDefault="00793A7B" w:rsidP="00793A7B">
      <w:pPr>
        <w:pStyle w:val="Zv-bodyreport"/>
        <w:rPr>
          <w:lang w:val="en-GB"/>
        </w:rPr>
      </w:pPr>
      <w:r w:rsidRPr="00AE6F13">
        <w:rPr>
          <w:lang w:val="en-US"/>
        </w:rPr>
        <w:t xml:space="preserve">This </w:t>
      </w:r>
      <w:r>
        <w:rPr>
          <w:lang w:val="en-US"/>
        </w:rPr>
        <w:t>report</w:t>
      </w:r>
      <w:r w:rsidRPr="00AE6F13">
        <w:rPr>
          <w:lang w:val="en-US"/>
        </w:rPr>
        <w:t xml:space="preserve"> presents experimental results for inactivation of plan</w:t>
      </w:r>
      <w:r>
        <w:rPr>
          <w:lang w:val="en-US"/>
        </w:rPr>
        <w:t>k</w:t>
      </w:r>
      <w:r w:rsidRPr="00AE6F13">
        <w:rPr>
          <w:lang w:val="en-US"/>
        </w:rPr>
        <w:t>tonic</w:t>
      </w:r>
      <w:r w:rsidRPr="00C557F2">
        <w:rPr>
          <w:lang w:val="en-US"/>
        </w:rPr>
        <w:t xml:space="preserve"> </w:t>
      </w:r>
      <w:r w:rsidRPr="00AE6F13">
        <w:rPr>
          <w:lang w:val="en-US"/>
        </w:rPr>
        <w:t xml:space="preserve">microorganism test strains </w:t>
      </w:r>
      <w:r>
        <w:rPr>
          <w:lang w:val="en-US"/>
        </w:rPr>
        <w:t xml:space="preserve">of </w:t>
      </w:r>
      <w:r w:rsidRPr="00AE6F13">
        <w:rPr>
          <w:i/>
          <w:lang w:val="en-US"/>
        </w:rPr>
        <w:t>S. aureus, E. coli, P. aeruginosa</w:t>
      </w:r>
      <w:r>
        <w:rPr>
          <w:lang w:val="en-US"/>
        </w:rPr>
        <w:t xml:space="preserve">separately </w:t>
      </w:r>
      <w:r w:rsidRPr="00AE6F13">
        <w:rPr>
          <w:lang w:val="en-US"/>
        </w:rPr>
        <w:t xml:space="preserve">and </w:t>
      </w:r>
      <w:r>
        <w:rPr>
          <w:lang w:val="en-US"/>
        </w:rPr>
        <w:t xml:space="preserve">in such </w:t>
      </w:r>
      <w:r w:rsidRPr="00AE6F13">
        <w:rPr>
          <w:lang w:val="en-US"/>
        </w:rPr>
        <w:t xml:space="preserve">consortiums </w:t>
      </w:r>
      <w:r w:rsidRPr="00AE6F13">
        <w:rPr>
          <w:i/>
          <w:lang w:val="en-US"/>
        </w:rPr>
        <w:t>E. coli + P. aeruginosa</w:t>
      </w:r>
      <w:r w:rsidRPr="00AE6F13">
        <w:rPr>
          <w:lang w:val="en-US"/>
        </w:rPr>
        <w:t xml:space="preserve"> and </w:t>
      </w:r>
      <w:r w:rsidRPr="00AE6F13">
        <w:rPr>
          <w:i/>
          <w:lang w:val="en-US"/>
        </w:rPr>
        <w:t>S. aureus + E. coli + P. aeruginosa</w:t>
      </w:r>
      <w:r>
        <w:rPr>
          <w:lang w:val="en-US"/>
        </w:rPr>
        <w:t>.The</w:t>
      </w:r>
      <w:r w:rsidRPr="00AE6F13">
        <w:rPr>
          <w:lang w:val="en-US"/>
        </w:rPr>
        <w:t xml:space="preserve"> total initial concentration </w:t>
      </w:r>
      <w:r>
        <w:rPr>
          <w:lang w:val="en-US"/>
        </w:rPr>
        <w:t xml:space="preserve">in each experiment is </w:t>
      </w:r>
      <w:r w:rsidRPr="00AE6F13">
        <w:rPr>
          <w:lang w:val="en-US"/>
        </w:rPr>
        <w:t>10</w:t>
      </w:r>
      <w:r w:rsidRPr="00AE6F13">
        <w:rPr>
          <w:vertAlign w:val="superscript"/>
          <w:lang w:val="en-US"/>
        </w:rPr>
        <w:t>5</w:t>
      </w:r>
      <w:r>
        <w:rPr>
          <w:lang w:val="en-US"/>
        </w:rPr>
        <w:t> </w:t>
      </w:r>
      <w:r w:rsidRPr="00AE6F13">
        <w:rPr>
          <w:lang w:val="en-US"/>
        </w:rPr>
        <w:t>CFU/ml. The DC atmospheric pressure air plasma jet at 30 mA [3, 4] is used</w:t>
      </w:r>
      <w:r>
        <w:rPr>
          <w:lang w:val="en-US"/>
        </w:rPr>
        <w:t xml:space="preserve"> for microorganisms inactivation</w:t>
      </w:r>
      <w:r w:rsidRPr="00AE6F13">
        <w:rPr>
          <w:lang w:val="en-US"/>
        </w:rPr>
        <w:t xml:space="preserve">. The efficiency of plasma exposure is estimated </w:t>
      </w:r>
      <w:r>
        <w:rPr>
          <w:lang w:val="en-US"/>
        </w:rPr>
        <w:t>with</w:t>
      </w:r>
      <w:r w:rsidRPr="00AE6F13">
        <w:rPr>
          <w:lang w:val="en-US"/>
        </w:rPr>
        <w:t xml:space="preserve"> a percentage of the survived cells in the strains. The temperature </w:t>
      </w:r>
      <w:r>
        <w:rPr>
          <w:lang w:val="en-US"/>
        </w:rPr>
        <w:t xml:space="preserve">in </w:t>
      </w:r>
      <w:r w:rsidRPr="00AE6F13">
        <w:rPr>
          <w:lang w:val="en-US"/>
        </w:rPr>
        <w:t>Petri dish was controlled with a thermal imager FLIR E4 and did not exceed 30 °C.</w:t>
      </w:r>
    </w:p>
    <w:p w:rsidR="00793A7B" w:rsidRPr="00D84948" w:rsidRDefault="00793A7B" w:rsidP="00793A7B">
      <w:pPr>
        <w:ind w:firstLine="567"/>
        <w:jc w:val="both"/>
        <w:rPr>
          <w:bCs/>
          <w:lang w:val="en-GB"/>
        </w:rPr>
      </w:pPr>
      <w:r w:rsidRPr="002A1032">
        <w:rPr>
          <w:bCs/>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0;margin-top:14.85pt;width:494.2pt;height:1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OKhA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" stroked="f">
            <v:textbox>
              <w:txbxContent>
                <w:p w:rsidR="00793A7B" w:rsidRDefault="00793A7B" w:rsidP="00793A7B">
                  <w:pPr>
                    <w:jc w:val="center"/>
                  </w:pPr>
                  <w:r>
                    <w:rPr>
                      <w:noProof/>
                    </w:rPr>
                    <w:drawing>
                      <wp:inline distT="0" distB="0" distL="0" distR="0">
                        <wp:extent cx="4905375" cy="1209675"/>
                        <wp:effectExtent l="19050" t="0" r="952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7"/>
                                <a:srcRect/>
                                <a:stretch>
                                  <a:fillRect/>
                                </a:stretch>
                              </pic:blipFill>
                              <pic:spPr bwMode="auto">
                                <a:xfrm>
                                  <a:off x="0" y="0"/>
                                  <a:ext cx="4905375" cy="1209675"/>
                                </a:xfrm>
                                <a:prstGeom prst="rect">
                                  <a:avLst/>
                                </a:prstGeom>
                                <a:noFill/>
                                <a:ln w="9525">
                                  <a:noFill/>
                                  <a:miter lim="800000"/>
                                  <a:headEnd/>
                                  <a:tailEnd/>
                                </a:ln>
                              </pic:spPr>
                            </pic:pic>
                          </a:graphicData>
                        </a:graphic>
                      </wp:inline>
                    </w:drawing>
                  </w:r>
                </w:p>
                <w:p w:rsidR="00793A7B" w:rsidRPr="00BD68BA" w:rsidRDefault="00793A7B" w:rsidP="00793A7B">
                  <w:pPr>
                    <w:jc w:val="center"/>
                    <w:rPr>
                      <w:bCs/>
                      <w:i/>
                      <w:lang w:val="en-US"/>
                    </w:rPr>
                  </w:pPr>
                  <w:r>
                    <w:rPr>
                      <w:lang w:val="en-US"/>
                    </w:rPr>
                    <w:t>Fig</w:t>
                  </w:r>
                  <w:r w:rsidRPr="00793A7B">
                    <w:rPr>
                      <w:lang w:val="en-US"/>
                    </w:rPr>
                    <w:t xml:space="preserve">. 1. </w:t>
                  </w:r>
                  <w:r>
                    <w:rPr>
                      <w:lang w:val="en-US"/>
                    </w:rPr>
                    <w:t>Inactivation</w:t>
                  </w:r>
                  <w:r w:rsidRPr="00BD68BA">
                    <w:rPr>
                      <w:lang w:val="en-US"/>
                    </w:rPr>
                    <w:t xml:space="preserve"> </w:t>
                  </w:r>
                  <w:r>
                    <w:rPr>
                      <w:lang w:val="en-US"/>
                    </w:rPr>
                    <w:t>of</w:t>
                  </w:r>
                  <w:r w:rsidRPr="00BD68BA">
                    <w:rPr>
                      <w:lang w:val="en-US"/>
                    </w:rPr>
                    <w:t xml:space="preserve"> </w:t>
                  </w:r>
                  <w:r>
                    <w:rPr>
                      <w:lang w:val="en-US"/>
                    </w:rPr>
                    <w:t>microorganisms</w:t>
                  </w:r>
                  <w:r w:rsidRPr="00BD68BA">
                    <w:rPr>
                      <w:lang w:val="en-US"/>
                    </w:rPr>
                    <w:t xml:space="preserve">: </w:t>
                  </w:r>
                  <w:r w:rsidRPr="00E47791">
                    <w:rPr>
                      <w:i/>
                    </w:rPr>
                    <w:t>а</w:t>
                  </w:r>
                  <w:r w:rsidRPr="00BD68BA">
                    <w:rPr>
                      <w:i/>
                      <w:lang w:val="en-US"/>
                    </w:rPr>
                    <w:t>)</w:t>
                  </w:r>
                  <w:r>
                    <w:rPr>
                      <w:i/>
                      <w:lang w:val="en-US"/>
                    </w:rPr>
                    <w:t xml:space="preserve"> </w:t>
                  </w:r>
                  <w:r>
                    <w:rPr>
                      <w:lang w:val="en-US"/>
                    </w:rPr>
                    <w:t>control</w:t>
                  </w:r>
                  <w:r w:rsidRPr="00BD68BA">
                    <w:rPr>
                      <w:lang w:val="en-US"/>
                    </w:rPr>
                    <w:t xml:space="preserve">, </w:t>
                  </w:r>
                  <w:r w:rsidRPr="00E47791">
                    <w:rPr>
                      <w:i/>
                      <w:lang w:val="en-US"/>
                    </w:rPr>
                    <w:t>b</w:t>
                  </w:r>
                  <w:r w:rsidRPr="00BD68BA">
                    <w:rPr>
                      <w:i/>
                      <w:lang w:val="en-US"/>
                    </w:rPr>
                    <w:t>)</w:t>
                  </w:r>
                  <w:r>
                    <w:rPr>
                      <w:i/>
                      <w:lang w:val="en-US"/>
                    </w:rPr>
                    <w:t xml:space="preserve"> </w:t>
                  </w:r>
                  <w:r w:rsidRPr="00A315FD">
                    <w:rPr>
                      <w:bCs/>
                      <w:i/>
                      <w:lang w:val="en-GB"/>
                    </w:rPr>
                    <w:t>P</w:t>
                  </w:r>
                  <w:r w:rsidRPr="00BD68BA">
                    <w:rPr>
                      <w:bCs/>
                      <w:i/>
                      <w:lang w:val="en-US"/>
                    </w:rPr>
                    <w:t>.</w:t>
                  </w:r>
                  <w:r w:rsidRPr="00A315FD">
                    <w:rPr>
                      <w:bCs/>
                      <w:i/>
                      <w:lang w:val="en-GB"/>
                    </w:rPr>
                    <w:t> aeruginosa</w:t>
                  </w:r>
                  <w:r w:rsidRPr="00BD68BA">
                    <w:rPr>
                      <w:bCs/>
                      <w:i/>
                      <w:lang w:val="en-US"/>
                    </w:rPr>
                    <w:t xml:space="preserve">, </w:t>
                  </w:r>
                  <w:r>
                    <w:rPr>
                      <w:bCs/>
                      <w:i/>
                      <w:lang w:val="en-US"/>
                    </w:rPr>
                    <w:t>c</w:t>
                  </w:r>
                  <w:r w:rsidRPr="00BD68BA">
                    <w:rPr>
                      <w:bCs/>
                      <w:i/>
                      <w:lang w:val="en-US"/>
                    </w:rPr>
                    <w:t>)</w:t>
                  </w:r>
                  <w:r w:rsidRPr="00A315FD">
                    <w:rPr>
                      <w:bCs/>
                      <w:i/>
                      <w:lang w:val="en-GB"/>
                    </w:rPr>
                    <w:t> E</w:t>
                  </w:r>
                  <w:r w:rsidRPr="00BD68BA">
                    <w:rPr>
                      <w:bCs/>
                      <w:i/>
                      <w:lang w:val="en-US"/>
                    </w:rPr>
                    <w:t>.</w:t>
                  </w:r>
                  <w:r w:rsidRPr="00A315FD">
                    <w:rPr>
                      <w:bCs/>
                      <w:i/>
                      <w:lang w:val="en-GB"/>
                    </w:rPr>
                    <w:t> coli</w:t>
                  </w:r>
                  <w:r w:rsidRPr="00BD68BA">
                    <w:rPr>
                      <w:bCs/>
                      <w:lang w:val="en-US"/>
                    </w:rPr>
                    <w:t>+</w:t>
                  </w:r>
                  <w:r w:rsidRPr="00A315FD">
                    <w:rPr>
                      <w:bCs/>
                      <w:i/>
                      <w:lang w:val="en-GB"/>
                    </w:rPr>
                    <w:t>P</w:t>
                  </w:r>
                  <w:r w:rsidRPr="00BD68BA">
                    <w:rPr>
                      <w:bCs/>
                      <w:i/>
                      <w:lang w:val="en-US"/>
                    </w:rPr>
                    <w:t>.</w:t>
                  </w:r>
                  <w:r w:rsidRPr="00A315FD">
                    <w:rPr>
                      <w:bCs/>
                      <w:i/>
                      <w:lang w:val="en-GB"/>
                    </w:rPr>
                    <w:t> aeruginosa</w:t>
                  </w:r>
                  <w:r w:rsidRPr="00BD68BA">
                    <w:rPr>
                      <w:bCs/>
                      <w:i/>
                      <w:lang w:val="en-US"/>
                    </w:rPr>
                    <w:t xml:space="preserve">, </w:t>
                  </w:r>
                </w:p>
                <w:p w:rsidR="00793A7B" w:rsidRPr="00793A7B" w:rsidRDefault="00793A7B" w:rsidP="00793A7B">
                  <w:pPr>
                    <w:jc w:val="center"/>
                    <w:rPr>
                      <w:lang w:val="en-US"/>
                    </w:rPr>
                  </w:pPr>
                  <w:r>
                    <w:rPr>
                      <w:bCs/>
                      <w:i/>
                      <w:lang w:val="en-US"/>
                    </w:rPr>
                    <w:t>d</w:t>
                  </w:r>
                  <w:r w:rsidRPr="00793A7B">
                    <w:rPr>
                      <w:bCs/>
                      <w:i/>
                      <w:lang w:val="en-US"/>
                    </w:rPr>
                    <w:t xml:space="preserve">) </w:t>
                  </w:r>
                  <w:r w:rsidRPr="00A315FD">
                    <w:rPr>
                      <w:bCs/>
                      <w:i/>
                      <w:lang w:val="en-GB"/>
                    </w:rPr>
                    <w:t>S</w:t>
                  </w:r>
                  <w:r w:rsidRPr="00793A7B">
                    <w:rPr>
                      <w:bCs/>
                      <w:i/>
                      <w:lang w:val="en-US"/>
                    </w:rPr>
                    <w:t>.</w:t>
                  </w:r>
                  <w:r w:rsidRPr="00A315FD">
                    <w:rPr>
                      <w:bCs/>
                      <w:i/>
                      <w:lang w:val="en-GB"/>
                    </w:rPr>
                    <w:t> aureus</w:t>
                  </w:r>
                  <w:r w:rsidRPr="00793A7B">
                    <w:rPr>
                      <w:bCs/>
                      <w:lang w:val="en-US"/>
                    </w:rPr>
                    <w:t>+</w:t>
                  </w:r>
                  <w:r w:rsidRPr="00A315FD">
                    <w:rPr>
                      <w:bCs/>
                      <w:i/>
                      <w:lang w:val="en-GB"/>
                    </w:rPr>
                    <w:t>E</w:t>
                  </w:r>
                  <w:r w:rsidRPr="00793A7B">
                    <w:rPr>
                      <w:bCs/>
                      <w:i/>
                      <w:lang w:val="en-US"/>
                    </w:rPr>
                    <w:t>.</w:t>
                  </w:r>
                  <w:r w:rsidRPr="00A315FD">
                    <w:rPr>
                      <w:bCs/>
                      <w:i/>
                      <w:lang w:val="en-GB"/>
                    </w:rPr>
                    <w:t> coli</w:t>
                  </w:r>
                  <w:r w:rsidRPr="00793A7B">
                    <w:rPr>
                      <w:bCs/>
                      <w:i/>
                      <w:lang w:val="en-US"/>
                    </w:rPr>
                    <w:t>+</w:t>
                  </w:r>
                  <w:r w:rsidRPr="00A315FD">
                    <w:rPr>
                      <w:bCs/>
                      <w:i/>
                      <w:lang w:val="en-GB"/>
                    </w:rPr>
                    <w:t>P</w:t>
                  </w:r>
                  <w:r w:rsidRPr="00793A7B">
                    <w:rPr>
                      <w:bCs/>
                      <w:i/>
                      <w:lang w:val="en-US"/>
                    </w:rPr>
                    <w:t>.</w:t>
                  </w:r>
                  <w:r w:rsidRPr="00A315FD">
                    <w:rPr>
                      <w:bCs/>
                      <w:i/>
                      <w:lang w:val="en-GB"/>
                    </w:rPr>
                    <w:t> aeruginosa</w:t>
                  </w:r>
                </w:p>
              </w:txbxContent>
            </v:textbox>
            <w10:wrap type="square"/>
          </v:shape>
        </w:pict>
      </w:r>
      <w:r w:rsidRPr="00E81911">
        <w:rPr>
          <w:bCs/>
          <w:lang w:val="en-US"/>
        </w:rPr>
        <w:t>Fig</w:t>
      </w:r>
      <w:r w:rsidRPr="00D84948">
        <w:rPr>
          <w:bCs/>
          <w:lang w:val="en-GB"/>
        </w:rPr>
        <w:t>.</w:t>
      </w:r>
      <w:r w:rsidRPr="00E81911">
        <w:rPr>
          <w:bCs/>
          <w:lang w:val="en-US"/>
        </w:rPr>
        <w:t xml:space="preserve"> 1,</w:t>
      </w:r>
      <w:r w:rsidRPr="00E81911">
        <w:rPr>
          <w:bCs/>
          <w:i/>
          <w:lang w:val="en-US"/>
        </w:rPr>
        <w:t xml:space="preserve"> a</w:t>
      </w:r>
      <w:r w:rsidRPr="00E81911">
        <w:rPr>
          <w:bCs/>
          <w:lang w:val="en-US"/>
        </w:rPr>
        <w:t xml:space="preserve"> shows Petri dish with a control sample </w:t>
      </w:r>
      <w:r>
        <w:rPr>
          <w:bCs/>
          <w:lang w:val="en-US"/>
        </w:rPr>
        <w:t xml:space="preserve">of </w:t>
      </w:r>
      <w:r w:rsidRPr="00E81911">
        <w:rPr>
          <w:bCs/>
          <w:lang w:val="en-US"/>
        </w:rPr>
        <w:t xml:space="preserve">monoculture </w:t>
      </w:r>
      <w:r w:rsidRPr="00E81911">
        <w:rPr>
          <w:bCs/>
          <w:i/>
          <w:lang w:val="en-US"/>
        </w:rPr>
        <w:t>P.</w:t>
      </w:r>
      <w:r w:rsidRPr="00D84948">
        <w:rPr>
          <w:bCs/>
          <w:i/>
          <w:lang w:val="en-GB"/>
        </w:rPr>
        <w:t> </w:t>
      </w:r>
      <w:r w:rsidRPr="00E81911">
        <w:rPr>
          <w:bCs/>
          <w:i/>
          <w:lang w:val="en-US"/>
        </w:rPr>
        <w:t>aeruginosa</w:t>
      </w:r>
      <w:r>
        <w:rPr>
          <w:bCs/>
          <w:i/>
          <w:lang w:val="en-US"/>
        </w:rPr>
        <w:t>.</w:t>
      </w:r>
      <w:r>
        <w:rPr>
          <w:bCs/>
          <w:lang w:val="en-US"/>
        </w:rPr>
        <w:t>Fig.1, b shows Petri cup with the same monoculture after</w:t>
      </w:r>
      <w:r w:rsidRPr="00E81911">
        <w:rPr>
          <w:bCs/>
          <w:lang w:val="en-US"/>
        </w:rPr>
        <w:t xml:space="preserve"> 10 min</w:t>
      </w:r>
      <w:r>
        <w:rPr>
          <w:bCs/>
          <w:lang w:val="en-US"/>
        </w:rPr>
        <w:t>treatment. In this case plasma has eliminated most of the</w:t>
      </w:r>
      <w:r w:rsidRPr="00D84948">
        <w:rPr>
          <w:bCs/>
          <w:lang w:val="en-GB"/>
        </w:rPr>
        <w:t xml:space="preserve"> microorganisms.</w:t>
      </w:r>
      <w:r>
        <w:rPr>
          <w:bCs/>
          <w:lang w:val="en-GB"/>
        </w:rPr>
        <w:t xml:space="preserve"> Fig. 1, c and Fig. 1, d demonstrate 10 min treatment results on respective consortia of two and three monocultures. Even though plasma appears to be less effective on consortia compared to monoculture, there is no visible difference in inactivation effect between the two consortia.</w:t>
      </w:r>
    </w:p>
    <w:p w:rsidR="00793A7B" w:rsidRDefault="00793A7B" w:rsidP="00793A7B">
      <w:pPr>
        <w:pStyle w:val="Zv-bodyreport"/>
        <w:rPr>
          <w:bCs/>
          <w:lang w:val="en-US"/>
        </w:rPr>
      </w:pPr>
      <w:r>
        <w:rPr>
          <w:bCs/>
          <w:lang w:val="en-US"/>
        </w:rPr>
        <w:t xml:space="preserve">The obtained </w:t>
      </w:r>
      <w:r w:rsidRPr="004F1BCC">
        <w:rPr>
          <w:bCs/>
          <w:lang w:val="en-US"/>
        </w:rPr>
        <w:t>characteristic D-times are rather different for the plan</w:t>
      </w:r>
      <w:r>
        <w:rPr>
          <w:bCs/>
          <w:lang w:val="en-US"/>
        </w:rPr>
        <w:t>k</w:t>
      </w:r>
      <w:r w:rsidRPr="004F1BCC">
        <w:rPr>
          <w:bCs/>
          <w:lang w:val="en-US"/>
        </w:rPr>
        <w:t>tonic</w:t>
      </w:r>
      <w:r>
        <w:rPr>
          <w:bCs/>
          <w:lang w:val="en-US"/>
        </w:rPr>
        <w:t xml:space="preserve"> </w:t>
      </w:r>
      <w:r w:rsidRPr="004F1BCC">
        <w:rPr>
          <w:bCs/>
          <w:lang w:val="en-US"/>
        </w:rPr>
        <w:t xml:space="preserve">microorganisms </w:t>
      </w:r>
      <w:r>
        <w:rPr>
          <w:bCs/>
          <w:lang w:val="en-US"/>
        </w:rPr>
        <w:t xml:space="preserve">as monocultures </w:t>
      </w:r>
      <w:r w:rsidRPr="004F1BCC">
        <w:rPr>
          <w:bCs/>
          <w:lang w:val="en-US"/>
        </w:rPr>
        <w:t xml:space="preserve">and </w:t>
      </w:r>
      <w:r>
        <w:rPr>
          <w:bCs/>
          <w:lang w:val="en-US"/>
        </w:rPr>
        <w:t>in</w:t>
      </w:r>
      <w:r w:rsidRPr="004F1BCC">
        <w:rPr>
          <w:bCs/>
          <w:lang w:val="en-US"/>
        </w:rPr>
        <w:t xml:space="preserve"> consorti</w:t>
      </w:r>
      <w:r>
        <w:rPr>
          <w:bCs/>
          <w:lang w:val="en-US"/>
        </w:rPr>
        <w:t xml:space="preserve">a, namely, </w:t>
      </w:r>
      <w:r w:rsidRPr="004F1BCC">
        <w:rPr>
          <w:bCs/>
          <w:lang w:val="en-US"/>
        </w:rPr>
        <w:t xml:space="preserve">for monocultures of </w:t>
      </w:r>
      <w:r w:rsidRPr="004F1BCC">
        <w:rPr>
          <w:bCs/>
          <w:i/>
          <w:lang w:val="en-US"/>
        </w:rPr>
        <w:t>S. aureus</w:t>
      </w:r>
      <w:r w:rsidRPr="004F1BCC">
        <w:rPr>
          <w:bCs/>
          <w:lang w:val="en-US"/>
        </w:rPr>
        <w:t xml:space="preserve">, </w:t>
      </w:r>
      <w:r w:rsidRPr="004F1BCC">
        <w:rPr>
          <w:bCs/>
          <w:i/>
          <w:lang w:val="en-US"/>
        </w:rPr>
        <w:t>E. coli</w:t>
      </w:r>
      <w:r w:rsidRPr="004F1BCC">
        <w:rPr>
          <w:bCs/>
          <w:lang w:val="en-US"/>
        </w:rPr>
        <w:t xml:space="preserve">, </w:t>
      </w:r>
      <w:r w:rsidRPr="004F1BCC">
        <w:rPr>
          <w:bCs/>
          <w:i/>
          <w:lang w:val="en-US"/>
        </w:rPr>
        <w:t>P. aeruginosa</w:t>
      </w:r>
      <w:r w:rsidRPr="004F1BCC">
        <w:rPr>
          <w:bCs/>
          <w:lang w:val="en-US"/>
        </w:rPr>
        <w:t xml:space="preserve"> the characteristic D-times are practically the same and are around 3 min, </w:t>
      </w:r>
      <w:r>
        <w:rPr>
          <w:bCs/>
          <w:lang w:val="en-US"/>
        </w:rPr>
        <w:t xml:space="preserve">while </w:t>
      </w:r>
      <w:r w:rsidRPr="004F1BCC">
        <w:rPr>
          <w:bCs/>
          <w:lang w:val="en-US"/>
        </w:rPr>
        <w:t xml:space="preserve">for the </w:t>
      </w:r>
      <w:r>
        <w:rPr>
          <w:bCs/>
          <w:lang w:val="en-US"/>
        </w:rPr>
        <w:t>consortia these</w:t>
      </w:r>
      <w:r w:rsidRPr="004F1BCC">
        <w:rPr>
          <w:bCs/>
          <w:lang w:val="en-US"/>
        </w:rPr>
        <w:t xml:space="preserve"> are 5 min. </w:t>
      </w:r>
    </w:p>
    <w:p w:rsidR="00793A7B" w:rsidRPr="00BD68BA" w:rsidRDefault="00793A7B" w:rsidP="00793A7B">
      <w:pPr>
        <w:pStyle w:val="Zv-bodyreport"/>
        <w:rPr>
          <w:iCs/>
          <w:lang w:val="en-US"/>
        </w:rPr>
      </w:pPr>
      <w:r w:rsidRPr="00BD68BA">
        <w:rPr>
          <w:lang w:val="en-US"/>
        </w:rPr>
        <w:t>This work is partially supported by BRFFR under the grant F15RM-032</w:t>
      </w:r>
      <w:r w:rsidRPr="00BD68BA">
        <w:rPr>
          <w:iCs/>
          <w:lang w:val="en-US"/>
        </w:rPr>
        <w:t>.</w:t>
      </w:r>
    </w:p>
    <w:p w:rsidR="00793A7B" w:rsidRPr="008B0258" w:rsidRDefault="00793A7B" w:rsidP="00793A7B">
      <w:pPr>
        <w:pStyle w:val="Zv-TitleReferences-en"/>
        <w:rPr>
          <w:lang w:val="en-US"/>
        </w:rPr>
      </w:pPr>
      <w:r w:rsidRPr="008B0258">
        <w:rPr>
          <w:lang w:val="en-US"/>
        </w:rPr>
        <w:t>References</w:t>
      </w:r>
    </w:p>
    <w:p w:rsidR="00793A7B" w:rsidRPr="008B0258" w:rsidRDefault="00793A7B" w:rsidP="00793A7B">
      <w:pPr>
        <w:pStyle w:val="Zv-References-en"/>
      </w:pPr>
      <w:r w:rsidRPr="008B0258">
        <w:t xml:space="preserve">А M. Laroussi and V. Puech, </w:t>
      </w:r>
      <w:r w:rsidRPr="008B0258">
        <w:rPr>
          <w:i/>
        </w:rPr>
        <w:t>Plasma Sourc. Sci. Techn</w:t>
      </w:r>
      <w:r w:rsidRPr="008B0258">
        <w:t xml:space="preserve">., </w:t>
      </w:r>
      <w:r w:rsidRPr="008B0258">
        <w:rPr>
          <w:b/>
        </w:rPr>
        <w:t>Volume</w:t>
      </w:r>
      <w:r w:rsidRPr="008B0258">
        <w:t xml:space="preserve"> 2, 034005 (2012).</w:t>
      </w:r>
    </w:p>
    <w:p w:rsidR="00793A7B" w:rsidRPr="009355F4" w:rsidRDefault="00793A7B" w:rsidP="00793A7B">
      <w:pPr>
        <w:pStyle w:val="Zv-References-en"/>
      </w:pPr>
      <w:r w:rsidRPr="008B0258">
        <w:t xml:space="preserve">Dudchik N.V. </w:t>
      </w:r>
      <w:r w:rsidRPr="008B0258">
        <w:rPr>
          <w:i/>
        </w:rPr>
        <w:t>Hygiene and sanitation</w:t>
      </w:r>
      <w:r w:rsidRPr="008B0258">
        <w:t xml:space="preserve">, </w:t>
      </w:r>
      <w:r w:rsidRPr="008B0258">
        <w:rPr>
          <w:b/>
        </w:rPr>
        <w:t>Volume</w:t>
      </w:r>
      <w:r w:rsidRPr="008B0258">
        <w:t xml:space="preserve"> 5, Pages 82-84(2012).</w:t>
      </w:r>
    </w:p>
    <w:p w:rsidR="00793A7B" w:rsidRPr="001D4255" w:rsidRDefault="00793A7B" w:rsidP="00793A7B">
      <w:pPr>
        <w:pStyle w:val="Zv-References-en"/>
      </w:pPr>
      <w:r w:rsidRPr="008B0258">
        <w:t xml:space="preserve">A.A. Kirillov, A.V. Paulava, L.V. Simonchik, </w:t>
      </w:r>
      <w:r w:rsidRPr="008B0258">
        <w:rPr>
          <w:i/>
        </w:rPr>
        <w:t>22</w:t>
      </w:r>
      <w:r w:rsidRPr="008B0258">
        <w:rPr>
          <w:i/>
          <w:vertAlign w:val="superscript"/>
        </w:rPr>
        <w:t>th</w:t>
      </w:r>
      <w:r w:rsidRPr="008B0258">
        <w:rPr>
          <w:i/>
          <w:iCs/>
        </w:rPr>
        <w:t>International symposium of plasma chemistry</w:t>
      </w:r>
      <w:r w:rsidRPr="008B0258">
        <w:rPr>
          <w:iCs/>
        </w:rPr>
        <w:t>,</w:t>
      </w:r>
      <w:r w:rsidRPr="008B0258">
        <w:t xml:space="preserve"> 5–10 July 2015, Antwerpen, Belgium, Pages 5, P-II-11-7 (2015).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88" w:rsidRDefault="00827888">
      <w:r>
        <w:separator/>
      </w:r>
    </w:p>
  </w:endnote>
  <w:endnote w:type="continuationSeparator" w:id="0">
    <w:p w:rsidR="00827888" w:rsidRDefault="00827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1FB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1FB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93A7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888" w:rsidRDefault="00827888">
      <w:r>
        <w:separator/>
      </w:r>
    </w:p>
  </w:footnote>
  <w:footnote w:type="continuationSeparator" w:id="0">
    <w:p w:rsidR="00827888" w:rsidRDefault="00827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821FB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827888"/>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93A7B"/>
    <w:rsid w:val="007B6378"/>
    <w:rsid w:val="007E06CE"/>
    <w:rsid w:val="00802D35"/>
    <w:rsid w:val="00821FB3"/>
    <w:rsid w:val="00827888"/>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A7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2</TotalTime>
  <Pages>1</Pages>
  <Words>409</Words>
  <Characters>2335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inactivation of planctonic microorganisms and their consortiums by DC atmospheric pressure plasma jets</dc:title>
  <dc:subject/>
  <dc:creator/>
  <cp:keywords/>
  <dc:description/>
  <cp:lastModifiedBy>Сергей Сатунин</cp:lastModifiedBy>
  <cp:revision>1</cp:revision>
  <cp:lastPrinted>1601-01-01T00:00:00Z</cp:lastPrinted>
  <dcterms:created xsi:type="dcterms:W3CDTF">2017-01-04T22:24:00Z</dcterms:created>
  <dcterms:modified xsi:type="dcterms:W3CDTF">2017-01-04T22:26:00Z</dcterms:modified>
</cp:coreProperties>
</file>