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BD" w:rsidRPr="006271BD" w:rsidRDefault="006271BD" w:rsidP="00B3239A">
      <w:pPr>
        <w:pStyle w:val="Zv-Titlereport"/>
        <w:ind w:left="284" w:right="282"/>
      </w:pPr>
      <w:bookmarkStart w:id="0" w:name="OLE_LINK31"/>
      <w:bookmarkStart w:id="1" w:name="OLE_LINK32"/>
      <w:r w:rsidRPr="00086BA9">
        <w:t>Кинетика электронов в газоразрядной плазме инертных газов с участием возбужденных атомов</w:t>
      </w:r>
      <w:bookmarkEnd w:id="0"/>
      <w:bookmarkEnd w:id="1"/>
    </w:p>
    <w:p w:rsidR="006271BD" w:rsidRDefault="00FB1D69" w:rsidP="006271BD">
      <w:pPr>
        <w:pStyle w:val="Zv-Author"/>
      </w:pPr>
      <w:r w:rsidRPr="00086BA9">
        <w:t>Д</w:t>
      </w:r>
      <w:r w:rsidR="00567DA0">
        <w:t>.</w:t>
      </w:r>
      <w:r>
        <w:t>А</w:t>
      </w:r>
      <w:r w:rsidR="00567DA0">
        <w:t xml:space="preserve">. </w:t>
      </w:r>
      <w:r>
        <w:t>Жиляев</w:t>
      </w:r>
      <w:r w:rsidRPr="00FB1D69">
        <w:t>,</w:t>
      </w:r>
      <w:r w:rsidRPr="00567DA0">
        <w:t xml:space="preserve"> </w:t>
      </w:r>
      <w:r w:rsidR="006271BD" w:rsidRPr="006271BD">
        <w:rPr>
          <w:u w:val="single"/>
        </w:rPr>
        <w:t>Б.М.</w:t>
      </w:r>
      <w:r w:rsidR="00567DA0">
        <w:rPr>
          <w:u w:val="single"/>
        </w:rPr>
        <w:t xml:space="preserve"> </w:t>
      </w:r>
      <w:r w:rsidR="006271BD" w:rsidRPr="006271BD">
        <w:rPr>
          <w:u w:val="single"/>
        </w:rPr>
        <w:t>Смирнов</w:t>
      </w:r>
    </w:p>
    <w:p w:rsidR="006271BD" w:rsidRPr="006271BD" w:rsidRDefault="006271BD" w:rsidP="006271BD">
      <w:pPr>
        <w:pStyle w:val="Zv-Organization"/>
      </w:pPr>
      <w:r w:rsidRPr="006271BD">
        <w:t xml:space="preserve">Объединенный Институт Высоких Температур РАН, </w:t>
      </w:r>
      <w:r w:rsidR="001079A9">
        <w:t>г.</w:t>
      </w:r>
      <w:r w:rsidRPr="006271BD">
        <w:t xml:space="preserve"> Москва, Россия</w:t>
      </w:r>
    </w:p>
    <w:p w:rsidR="006271BD" w:rsidRPr="006271BD" w:rsidRDefault="006271BD" w:rsidP="006271BD">
      <w:pPr>
        <w:pStyle w:val="Zv-bodyreport"/>
      </w:pPr>
      <w:r>
        <w:t>В рамках общей схемы рассмотрена ступенчатая ионизация в газоразрядной плазме инертных газов, когда возбужденные атомы вносят вклад в скорость ионизации газа. Основу рассмотрения составляет самосогласованный характер возбуждения атомов</w:t>
      </w:r>
      <w:r w:rsidR="00FB1D69">
        <w:t xml:space="preserve"> в плазме </w:t>
      </w:r>
      <w:r w:rsidR="00FB1D69" w:rsidRPr="00FB1D69">
        <w:t>[1]</w:t>
      </w:r>
      <w:r>
        <w:t xml:space="preserve">, так что процесс возбуждения приводит к резкому падению функции распределения электронов по энергиям выше порога возбуждения, а это в свою очередь влияет на скорость возбуждения. В результате заселенность более высоких уровней энергии относительно мала, и они не вносят </w:t>
      </w:r>
      <w:r w:rsidR="00F62518">
        <w:t>вклада в ступенчатую ионизацию,</w:t>
      </w:r>
      <w:r w:rsidR="00F62518" w:rsidRPr="00F62518">
        <w:t xml:space="preserve"> </w:t>
      </w:r>
      <w:r>
        <w:t xml:space="preserve">так что ступенчатая ионизация определяется только 4 состояниями с электронной оболочкой </w:t>
      </w:r>
      <w:r w:rsidR="00F62518" w:rsidRPr="00FB1D69">
        <w:rPr>
          <w:rFonts w:ascii="CMMI10" w:hAnsi="CMMI10" w:cs="CMMI10"/>
          <w:i/>
          <w:iCs/>
          <w:lang w:val="en-US"/>
        </w:rPr>
        <w:t>np</w:t>
      </w:r>
      <w:r w:rsidR="00F62518" w:rsidRPr="00FB1D69">
        <w:rPr>
          <w:rFonts w:ascii="CMMI10" w:hAnsi="CMMI10" w:cs="CMMI10"/>
          <w:i/>
          <w:iCs/>
          <w:vertAlign w:val="superscript"/>
        </w:rPr>
        <w:t>5</w:t>
      </w:r>
      <w:r>
        <w:rPr>
          <w:rFonts w:cs="CMR7"/>
          <w:sz w:val="14"/>
          <w:szCs w:val="14"/>
        </w:rPr>
        <w:t xml:space="preserve"> </w:t>
      </w:r>
      <w:r w:rsidRPr="001A5B98">
        <w:rPr>
          <w:rFonts w:ascii="CMR10" w:hAnsi="CMR10" w:cs="CMR10"/>
        </w:rPr>
        <w:t>(</w:t>
      </w:r>
      <w:r w:rsidRPr="00086BA9">
        <w:rPr>
          <w:rFonts w:ascii="CMMI10" w:hAnsi="CMMI10" w:cs="CMMI10"/>
          <w:i/>
          <w:iCs/>
          <w:lang w:val="en-US"/>
        </w:rPr>
        <w:t>n</w:t>
      </w:r>
      <w:r w:rsidR="001079A9">
        <w:rPr>
          <w:rFonts w:cs="CMMI10"/>
          <w:i/>
          <w:iCs/>
        </w:rPr>
        <w:t> </w:t>
      </w:r>
      <w:r w:rsidRPr="001A5B98">
        <w:rPr>
          <w:rFonts w:ascii="CMR10" w:hAnsi="CMR10" w:cs="CMR10"/>
        </w:rPr>
        <w:t>+</w:t>
      </w:r>
      <w:r w:rsidR="001079A9">
        <w:rPr>
          <w:rFonts w:cs="CMR10"/>
        </w:rPr>
        <w:t> </w:t>
      </w:r>
      <w:r w:rsidRPr="001A5B98">
        <w:rPr>
          <w:rFonts w:ascii="CMR10" w:hAnsi="CMR10" w:cs="CMR10"/>
        </w:rPr>
        <w:t>1)</w:t>
      </w:r>
      <w:r w:rsidRPr="00086BA9">
        <w:rPr>
          <w:rFonts w:ascii="CMMI10" w:hAnsi="CMMI10" w:cs="CMMI10"/>
          <w:i/>
          <w:iCs/>
          <w:lang w:val="en-US"/>
        </w:rPr>
        <w:t>s</w:t>
      </w:r>
      <w:r>
        <w:rPr>
          <w:rFonts w:cs="CMMI10"/>
          <w:i/>
          <w:iCs/>
        </w:rPr>
        <w:t>.</w:t>
      </w:r>
      <w:r>
        <w:rPr>
          <w:rFonts w:cs="CMMI10"/>
          <w:iCs/>
        </w:rPr>
        <w:t xml:space="preserve"> Другая особенность связана с тем, что расчеты сечений электрон-атомных столкновений являются ненадежными, а экспериментальные данные ограничены. В данном рассмотрении эти сечения получены продолжением борновского приближения в область малых энергий столкновения для </w:t>
      </w:r>
      <w:r w:rsidRPr="00F24FA2">
        <w:rPr>
          <w:rFonts w:cs="CMMI10"/>
          <w:i/>
          <w:iCs/>
          <w:lang w:val="en-US"/>
        </w:rPr>
        <w:t>s</w:t>
      </w:r>
      <w:r w:rsidRPr="00F24FA2">
        <w:rPr>
          <w:rFonts w:cs="CMMI10"/>
          <w:i/>
          <w:iCs/>
        </w:rPr>
        <w:t>-</w:t>
      </w:r>
      <w:r w:rsidRPr="00F24FA2">
        <w:rPr>
          <w:rFonts w:cs="CMMI10"/>
          <w:i/>
          <w:iCs/>
          <w:lang w:val="en-US"/>
        </w:rPr>
        <w:t>p</w:t>
      </w:r>
      <w:r>
        <w:rPr>
          <w:rFonts w:cs="CMMI10"/>
          <w:iCs/>
        </w:rPr>
        <w:t xml:space="preserve"> переходов валентного электрона на основе измерений для атомов щелочных металлов</w:t>
      </w:r>
      <w:r w:rsidR="00FB1D69" w:rsidRPr="00FB1D69">
        <w:rPr>
          <w:rFonts w:cs="CMMI10"/>
          <w:iCs/>
        </w:rPr>
        <w:t xml:space="preserve"> [2]</w:t>
      </w:r>
      <w:r>
        <w:rPr>
          <w:rFonts w:cs="CMMI10"/>
          <w:iCs/>
        </w:rPr>
        <w:t>. Еще одной особенностью рассматриваемой схемы является характер разрушения возбужденных атомов, относящихся к</w:t>
      </w:r>
      <w:r>
        <w:t xml:space="preserve"> электронной оболочке</w:t>
      </w:r>
      <w:r w:rsidR="00FB1D69" w:rsidRPr="00FB1D69">
        <w:t xml:space="preserve"> </w:t>
      </w:r>
      <w:r w:rsidR="00FB1D69" w:rsidRPr="00FB1D69">
        <w:rPr>
          <w:rFonts w:ascii="CMMI10" w:hAnsi="CMMI10" w:cs="CMMI10"/>
          <w:i/>
          <w:iCs/>
          <w:lang w:val="en-US"/>
        </w:rPr>
        <w:t>np</w:t>
      </w:r>
      <w:r w:rsidR="00FB1D69" w:rsidRPr="00FB1D69">
        <w:rPr>
          <w:rFonts w:ascii="CMMI10" w:hAnsi="CMMI10" w:cs="CMMI10"/>
          <w:i/>
          <w:iCs/>
          <w:vertAlign w:val="superscript"/>
        </w:rPr>
        <w:t>5</w:t>
      </w:r>
      <w:r>
        <w:t xml:space="preserve"> </w:t>
      </w:r>
      <w:r w:rsidRPr="001A5B98">
        <w:rPr>
          <w:rFonts w:ascii="CMR10" w:hAnsi="CMR10" w:cs="CMR10"/>
        </w:rPr>
        <w:t>(</w:t>
      </w:r>
      <w:r w:rsidRPr="00086BA9">
        <w:rPr>
          <w:rFonts w:ascii="CMMI10" w:hAnsi="CMMI10" w:cs="CMMI10"/>
          <w:i/>
          <w:iCs/>
          <w:lang w:val="en-US"/>
        </w:rPr>
        <w:t>n</w:t>
      </w:r>
      <w:r w:rsidR="001079A9">
        <w:rPr>
          <w:rFonts w:cs="CMMI10"/>
          <w:i/>
          <w:iCs/>
        </w:rPr>
        <w:t> </w:t>
      </w:r>
      <w:r w:rsidRPr="001A5B98">
        <w:rPr>
          <w:rFonts w:ascii="CMR10" w:hAnsi="CMR10" w:cs="CMR10"/>
        </w:rPr>
        <w:t>+</w:t>
      </w:r>
      <w:r w:rsidR="001079A9">
        <w:rPr>
          <w:rFonts w:cs="CMR10"/>
        </w:rPr>
        <w:t> </w:t>
      </w:r>
      <w:r w:rsidRPr="001A5B98">
        <w:rPr>
          <w:rFonts w:ascii="CMR10" w:hAnsi="CMR10" w:cs="CMR10"/>
        </w:rPr>
        <w:t>1)</w:t>
      </w:r>
      <w:r w:rsidRPr="00086BA9">
        <w:rPr>
          <w:rFonts w:ascii="CMMI10" w:hAnsi="CMMI10" w:cs="CMMI10"/>
          <w:i/>
          <w:iCs/>
          <w:lang w:val="en-US"/>
        </w:rPr>
        <w:t>s</w:t>
      </w:r>
      <w:r>
        <w:rPr>
          <w:rFonts w:cs="CMMI10"/>
          <w:iCs/>
        </w:rPr>
        <w:t xml:space="preserve">. Наибольший вклад в этот процесс дает возбуждение атомов с переходом в </w:t>
      </w:r>
      <w:r>
        <w:t>состояния с электронной оболочкой</w:t>
      </w:r>
      <w:r w:rsidR="00FB1D69" w:rsidRPr="00FB1D69">
        <w:t xml:space="preserve"> [3] </w:t>
      </w:r>
      <w:r w:rsidRPr="00FB1D69">
        <w:rPr>
          <w:rFonts w:ascii="CMMI10" w:hAnsi="CMMI10" w:cs="CMMI10"/>
          <w:i/>
          <w:iCs/>
          <w:lang w:val="en-US"/>
        </w:rPr>
        <w:t>np</w:t>
      </w:r>
      <w:r w:rsidR="00FB1D69" w:rsidRPr="00FB1D69">
        <w:rPr>
          <w:rFonts w:ascii="CMMI10" w:hAnsi="CMMI10" w:cs="CMMI10"/>
          <w:i/>
          <w:iCs/>
          <w:vertAlign w:val="superscript"/>
        </w:rPr>
        <w:t>5</w:t>
      </w:r>
      <w:r w:rsidR="00FB1D69" w:rsidRPr="00FB1D69">
        <w:rPr>
          <w:rFonts w:ascii="CMMI10" w:hAnsi="CMMI10" w:cs="CMMI10"/>
          <w:i/>
          <w:iCs/>
        </w:rPr>
        <w:t xml:space="preserve"> </w:t>
      </w:r>
      <w:r w:rsidRPr="001A5B98">
        <w:rPr>
          <w:rFonts w:ascii="CMR10" w:hAnsi="CMR10" w:cs="CMR10"/>
        </w:rPr>
        <w:t>(</w:t>
      </w:r>
      <w:r w:rsidRPr="00086BA9">
        <w:rPr>
          <w:rFonts w:ascii="CMMI10" w:hAnsi="CMMI10" w:cs="CMMI10"/>
          <w:i/>
          <w:iCs/>
          <w:lang w:val="en-US"/>
        </w:rPr>
        <w:t>n</w:t>
      </w:r>
      <w:r w:rsidR="001079A9">
        <w:rPr>
          <w:rFonts w:cs="CMMI10"/>
          <w:i/>
          <w:iCs/>
        </w:rPr>
        <w:t> </w:t>
      </w:r>
      <w:r w:rsidRPr="001A5B98">
        <w:rPr>
          <w:rFonts w:ascii="CMR10" w:hAnsi="CMR10" w:cs="CMR10"/>
        </w:rPr>
        <w:t>+</w:t>
      </w:r>
      <w:r w:rsidR="001079A9">
        <w:rPr>
          <w:rFonts w:cs="CMR10"/>
        </w:rPr>
        <w:t> </w:t>
      </w:r>
      <w:r w:rsidRPr="001A5B98">
        <w:rPr>
          <w:rFonts w:ascii="CMR10" w:hAnsi="CMR10" w:cs="CMR10"/>
        </w:rPr>
        <w:t>1)</w:t>
      </w:r>
      <w:r>
        <w:rPr>
          <w:rFonts w:ascii="CMMI10" w:hAnsi="CMMI10" w:cs="CMMI10"/>
          <w:i/>
          <w:iCs/>
          <w:lang w:val="en-US"/>
        </w:rPr>
        <w:t>p</w:t>
      </w:r>
      <w:r>
        <w:rPr>
          <w:rFonts w:cs="CMMI10"/>
          <w:iCs/>
        </w:rPr>
        <w:t xml:space="preserve"> при характерных энергиях существования газоразрядной плазмы. В результате рассмотрена кинетическая схема с учетом блоков</w:t>
      </w:r>
      <w:r w:rsidR="00FB1D69" w:rsidRPr="00FB1D69">
        <w:rPr>
          <w:rFonts w:cs="CMMI10"/>
          <w:iCs/>
        </w:rPr>
        <w:t xml:space="preserve"> [4]</w:t>
      </w:r>
      <w:r>
        <w:rPr>
          <w:rFonts w:cs="CMMI10"/>
          <w:iCs/>
        </w:rPr>
        <w:t xml:space="preserve">, соответствующих </w:t>
      </w:r>
      <w:r>
        <w:t xml:space="preserve">электронным оболочкам </w:t>
      </w:r>
      <w:r w:rsidRPr="001A5B98">
        <w:t xml:space="preserve"> </w:t>
      </w:r>
      <w:r w:rsidR="00FB1D69" w:rsidRPr="00FB1D69">
        <w:rPr>
          <w:rFonts w:ascii="CMMI10" w:hAnsi="CMMI10" w:cs="CMMI10"/>
          <w:i/>
          <w:iCs/>
          <w:lang w:val="en-US"/>
        </w:rPr>
        <w:t>np</w:t>
      </w:r>
      <w:r w:rsidR="00FB1D69" w:rsidRPr="00FB1D69">
        <w:rPr>
          <w:rFonts w:ascii="CMMI10" w:hAnsi="CMMI10" w:cs="CMMI10"/>
          <w:i/>
          <w:iCs/>
          <w:vertAlign w:val="superscript"/>
        </w:rPr>
        <w:t>5</w:t>
      </w:r>
      <w:r>
        <w:rPr>
          <w:rFonts w:cs="CMR7"/>
          <w:sz w:val="14"/>
          <w:szCs w:val="14"/>
        </w:rPr>
        <w:t xml:space="preserve"> </w:t>
      </w:r>
      <w:r w:rsidRPr="001A5B98">
        <w:rPr>
          <w:rFonts w:ascii="CMR10" w:hAnsi="CMR10" w:cs="CMR10"/>
        </w:rPr>
        <w:t>(</w:t>
      </w:r>
      <w:r w:rsidRPr="00086BA9">
        <w:rPr>
          <w:rFonts w:ascii="CMMI10" w:hAnsi="CMMI10" w:cs="CMMI10"/>
          <w:i/>
          <w:iCs/>
          <w:lang w:val="en-US"/>
        </w:rPr>
        <w:t>n</w:t>
      </w:r>
      <w:r w:rsidR="001079A9">
        <w:rPr>
          <w:rFonts w:cs="CMMI10"/>
          <w:i/>
          <w:iCs/>
        </w:rPr>
        <w:t> </w:t>
      </w:r>
      <w:r w:rsidRPr="001A5B98">
        <w:rPr>
          <w:rFonts w:ascii="CMR10" w:hAnsi="CMR10" w:cs="CMR10"/>
        </w:rPr>
        <w:t>+</w:t>
      </w:r>
      <w:r w:rsidR="001079A9">
        <w:rPr>
          <w:rFonts w:cs="CMR10"/>
        </w:rPr>
        <w:t> </w:t>
      </w:r>
      <w:r w:rsidRPr="001A5B98">
        <w:rPr>
          <w:rFonts w:ascii="CMR10" w:hAnsi="CMR10" w:cs="CMR10"/>
        </w:rPr>
        <w:t>1)</w:t>
      </w:r>
      <w:r w:rsidRPr="00086BA9">
        <w:rPr>
          <w:rFonts w:ascii="CMMI10" w:hAnsi="CMMI10" w:cs="CMMI10"/>
          <w:i/>
          <w:iCs/>
          <w:lang w:val="en-US"/>
        </w:rPr>
        <w:t>s</w:t>
      </w:r>
      <w:r>
        <w:rPr>
          <w:rFonts w:cs="CMMI10"/>
          <w:iCs/>
        </w:rPr>
        <w:t xml:space="preserve"> и</w:t>
      </w:r>
      <w:r w:rsidRPr="001A5B98">
        <w:t xml:space="preserve"> </w:t>
      </w:r>
      <w:r w:rsidR="00FB1D69" w:rsidRPr="00FB1D69">
        <w:rPr>
          <w:rFonts w:ascii="CMMI10" w:hAnsi="CMMI10" w:cs="CMMI10"/>
          <w:i/>
          <w:iCs/>
          <w:lang w:val="en-US"/>
        </w:rPr>
        <w:t>np</w:t>
      </w:r>
      <w:r w:rsidR="00FB1D69" w:rsidRPr="00FB1D69">
        <w:rPr>
          <w:rFonts w:ascii="CMMI10" w:hAnsi="CMMI10" w:cs="CMMI10"/>
          <w:i/>
          <w:iCs/>
          <w:vertAlign w:val="superscript"/>
        </w:rPr>
        <w:t>5</w:t>
      </w:r>
      <w:r>
        <w:rPr>
          <w:rFonts w:cs="CMR7"/>
          <w:sz w:val="14"/>
          <w:szCs w:val="14"/>
        </w:rPr>
        <w:t xml:space="preserve"> </w:t>
      </w:r>
      <w:r w:rsidRPr="001A5B98">
        <w:rPr>
          <w:rFonts w:ascii="CMR10" w:hAnsi="CMR10" w:cs="CMR10"/>
        </w:rPr>
        <w:t>(</w:t>
      </w:r>
      <w:r w:rsidRPr="00086BA9">
        <w:rPr>
          <w:rFonts w:ascii="CMMI10" w:hAnsi="CMMI10" w:cs="CMMI10"/>
          <w:i/>
          <w:iCs/>
          <w:lang w:val="en-US"/>
        </w:rPr>
        <w:t>n</w:t>
      </w:r>
      <w:r w:rsidR="001079A9">
        <w:rPr>
          <w:rFonts w:cs="CMMI10"/>
          <w:i/>
          <w:iCs/>
        </w:rPr>
        <w:t> </w:t>
      </w:r>
      <w:r w:rsidRPr="001A5B98">
        <w:rPr>
          <w:rFonts w:ascii="CMR10" w:hAnsi="CMR10" w:cs="CMR10"/>
        </w:rPr>
        <w:t>+</w:t>
      </w:r>
      <w:r w:rsidR="001079A9">
        <w:rPr>
          <w:rFonts w:cs="CMR10"/>
        </w:rPr>
        <w:t> </w:t>
      </w:r>
      <w:r w:rsidRPr="001A5B98">
        <w:rPr>
          <w:rFonts w:ascii="CMR10" w:hAnsi="CMR10" w:cs="CMR10"/>
        </w:rPr>
        <w:t>1)</w:t>
      </w:r>
      <w:r>
        <w:rPr>
          <w:rFonts w:ascii="CMMI10" w:hAnsi="CMMI10" w:cs="CMMI10"/>
          <w:i/>
          <w:iCs/>
          <w:lang w:val="en-US"/>
        </w:rPr>
        <w:t>p</w:t>
      </w:r>
      <w:r>
        <w:rPr>
          <w:rFonts w:cs="CMMI10"/>
          <w:i/>
          <w:iCs/>
        </w:rPr>
        <w:t>.</w:t>
      </w:r>
      <w:r>
        <w:rPr>
          <w:rFonts w:cs="CMMI10"/>
          <w:iCs/>
        </w:rPr>
        <w:t xml:space="preserve"> В рамках этой схемы для режима высокой плотности электронов, когда функция тепловых электронов является максвелловской, с учетом столкновительных и радиационных процессов вычислена концентрация возбужденных атомов, соответствующих нижнему блоку состояний, а также скорость ступенчатой ионизации.  </w:t>
      </w:r>
    </w:p>
    <w:p w:rsidR="00654A7B" w:rsidRPr="00FB1D69" w:rsidRDefault="00FB1D69" w:rsidP="00567DA0">
      <w:pPr>
        <w:pStyle w:val="Zv-TitleReferences-en"/>
      </w:pPr>
      <w:r>
        <w:t>Литература</w:t>
      </w:r>
    </w:p>
    <w:p w:rsidR="00FB1D69" w:rsidRPr="00FB1D69" w:rsidRDefault="00FB1D69" w:rsidP="0012041F">
      <w:pPr>
        <w:pStyle w:val="Zv-References-ru"/>
      </w:pPr>
      <w:r w:rsidRPr="00FB1D69">
        <w:rPr>
          <w:lang w:val="en-US"/>
        </w:rPr>
        <w:t>J</w:t>
      </w:r>
      <w:r w:rsidRPr="00567DA0">
        <w:rPr>
          <w:lang w:val="en-US"/>
        </w:rPr>
        <w:t>.</w:t>
      </w:r>
      <w:r w:rsidRPr="00FB1D69">
        <w:rPr>
          <w:lang w:val="en-US"/>
        </w:rPr>
        <w:t>Bretagne</w:t>
      </w:r>
      <w:r w:rsidRPr="00567DA0">
        <w:rPr>
          <w:lang w:val="en-US"/>
        </w:rPr>
        <w:t xml:space="preserve">, </w:t>
      </w:r>
      <w:r w:rsidRPr="00FB1D69">
        <w:rPr>
          <w:lang w:val="en-US"/>
        </w:rPr>
        <w:t>M</w:t>
      </w:r>
      <w:r w:rsidRPr="00567DA0">
        <w:rPr>
          <w:lang w:val="en-US"/>
        </w:rPr>
        <w:t>.</w:t>
      </w:r>
      <w:r w:rsidRPr="00FB1D69">
        <w:rPr>
          <w:lang w:val="en-US"/>
        </w:rPr>
        <w:t>Capitelli</w:t>
      </w:r>
      <w:r w:rsidRPr="00567DA0">
        <w:rPr>
          <w:lang w:val="en-US"/>
        </w:rPr>
        <w:t xml:space="preserve">, </w:t>
      </w:r>
      <w:r w:rsidRPr="00FB1D69">
        <w:rPr>
          <w:lang w:val="en-US"/>
        </w:rPr>
        <w:t>C</w:t>
      </w:r>
      <w:r w:rsidRPr="00567DA0">
        <w:rPr>
          <w:lang w:val="en-US"/>
        </w:rPr>
        <w:t>.</w:t>
      </w:r>
      <w:r w:rsidRPr="00FB1D69">
        <w:rPr>
          <w:lang w:val="en-US"/>
        </w:rPr>
        <w:t>Gorse</w:t>
      </w:r>
      <w:r w:rsidRPr="00567DA0">
        <w:rPr>
          <w:lang w:val="en-US"/>
        </w:rPr>
        <w:t xml:space="preserve">, </w:t>
      </w:r>
      <w:r w:rsidRPr="00FB1D69">
        <w:rPr>
          <w:lang w:val="en-US"/>
        </w:rPr>
        <w:t>V</w:t>
      </w:r>
      <w:r w:rsidRPr="00567DA0">
        <w:rPr>
          <w:lang w:val="en-US"/>
        </w:rPr>
        <w:t>.</w:t>
      </w:r>
      <w:r w:rsidRPr="00FB1D69">
        <w:rPr>
          <w:lang w:val="en-US"/>
        </w:rPr>
        <w:t>Puec</w:t>
      </w:r>
      <w:r w:rsidRPr="00567DA0">
        <w:rPr>
          <w:lang w:val="en-US"/>
        </w:rPr>
        <w:t xml:space="preserve">.  </w:t>
      </w:r>
      <w:r w:rsidRPr="00FB1D69">
        <w:t>EPL</w:t>
      </w:r>
      <w:r>
        <w:t xml:space="preserve"> </w:t>
      </w:r>
      <w:r w:rsidRPr="00FB1D69">
        <w:rPr>
          <w:b/>
        </w:rPr>
        <w:t>3</w:t>
      </w:r>
      <w:r w:rsidRPr="00FB1D69">
        <w:t>, 1179(1987)</w:t>
      </w:r>
    </w:p>
    <w:p w:rsidR="00CB674C" w:rsidRPr="00CB674C" w:rsidRDefault="00CB674C" w:rsidP="0012041F">
      <w:pPr>
        <w:pStyle w:val="Zv-References-ru"/>
        <w:rPr>
          <w:lang w:val="en-US"/>
        </w:rPr>
      </w:pPr>
      <w:r w:rsidRPr="00CB674C">
        <w:rPr>
          <w:lang w:val="en-US"/>
        </w:rPr>
        <w:t>B.M.Smirnov. Theory of Gas Discharge Plasma.</w:t>
      </w:r>
      <w:r>
        <w:rPr>
          <w:lang w:val="en-US"/>
        </w:rPr>
        <w:t xml:space="preserve"> (</w:t>
      </w:r>
      <w:smartTag w:uri="urn:schemas-microsoft-com:office:smarttags" w:element="State">
        <w:smartTag w:uri="urn:schemas-microsoft-com:office:smarttags" w:element="place">
          <w:r w:rsidRPr="00CB674C">
            <w:rPr>
              <w:lang w:val="en-US"/>
            </w:rPr>
            <w:t>Berlin</w:t>
          </w:r>
        </w:smartTag>
      </w:smartTag>
      <w:r w:rsidRPr="00CB674C">
        <w:rPr>
          <w:lang w:val="en-US"/>
        </w:rPr>
        <w:t>, Springer, 2015)</w:t>
      </w:r>
    </w:p>
    <w:p w:rsidR="00CB674C" w:rsidRPr="00CB674C" w:rsidRDefault="00CB674C" w:rsidP="0012041F">
      <w:pPr>
        <w:pStyle w:val="Zv-References-ru"/>
        <w:rPr>
          <w:lang w:val="en-US"/>
        </w:rPr>
      </w:pPr>
      <w:r w:rsidRPr="00CB674C">
        <w:rPr>
          <w:lang w:val="en-US"/>
        </w:rPr>
        <w:t>V.P.Afanas'ev, B.M.Smirnov, D.A.Zhilyaev. ZhETF</w:t>
      </w:r>
    </w:p>
    <w:p w:rsidR="00CB674C" w:rsidRPr="00F62518" w:rsidRDefault="00CB674C" w:rsidP="0012041F">
      <w:pPr>
        <w:pStyle w:val="Zv-References-ru"/>
      </w:pPr>
      <w:r w:rsidRPr="000901D9">
        <w:t>Л.М.Биберман, В.С.Воробьев, И.Т.Якубов.Кинетика  неравновесной  низкотемпературной</w:t>
      </w:r>
      <w:r w:rsidR="00F62518" w:rsidRPr="00F62518">
        <w:t xml:space="preserve"> </w:t>
      </w:r>
      <w:r w:rsidRPr="000901D9">
        <w:t>плазмы.(Москва, Наука, 1982</w:t>
      </w:r>
      <w:r w:rsidR="00F62518" w:rsidRPr="00F62518">
        <w:t>)</w:t>
      </w:r>
    </w:p>
    <w:p w:rsidR="00654A7B" w:rsidRPr="00B3239A" w:rsidRDefault="00654A7B" w:rsidP="00B3239A">
      <w:pPr>
        <w:pStyle w:val="a6"/>
        <w:rPr>
          <w:lang w:val="en-US"/>
        </w:rPr>
      </w:pPr>
    </w:p>
    <w:sectPr w:rsidR="00654A7B" w:rsidRPr="00B3239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761" w:rsidRDefault="00941761">
      <w:r>
        <w:separator/>
      </w:r>
    </w:p>
  </w:endnote>
  <w:endnote w:type="continuationSeparator" w:id="0">
    <w:p w:rsidR="00941761" w:rsidRDefault="0094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B1" w:rsidRDefault="00272D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DB1" w:rsidRDefault="00272D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B1" w:rsidRDefault="00272D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239A">
      <w:rPr>
        <w:rStyle w:val="a5"/>
        <w:noProof/>
      </w:rPr>
      <w:t>1</w:t>
    </w:r>
    <w:r>
      <w:rPr>
        <w:rStyle w:val="a5"/>
      </w:rPr>
      <w:fldChar w:fldCharType="end"/>
    </w:r>
  </w:p>
  <w:p w:rsidR="00272DB1" w:rsidRDefault="00272D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761" w:rsidRDefault="00941761">
      <w:r>
        <w:separator/>
      </w:r>
    </w:p>
  </w:footnote>
  <w:footnote w:type="continuationSeparator" w:id="0">
    <w:p w:rsidR="00941761" w:rsidRDefault="00941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B1" w:rsidRDefault="00272DB1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271BD">
      <w:rPr>
        <w:sz w:val="20"/>
      </w:rPr>
      <w:t>8</w:t>
    </w:r>
    <w:r>
      <w:rPr>
        <w:sz w:val="20"/>
      </w:rPr>
      <w:t xml:space="preserve"> – 1</w:t>
    </w:r>
    <w:r w:rsidRPr="006271BD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6271BD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272DB1" w:rsidRDefault="00272DB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7078"/>
    <w:rsid w:val="000D76E9"/>
    <w:rsid w:val="000E495B"/>
    <w:rsid w:val="001079A9"/>
    <w:rsid w:val="0011031E"/>
    <w:rsid w:val="0012041F"/>
    <w:rsid w:val="00134AAA"/>
    <w:rsid w:val="001C0CCB"/>
    <w:rsid w:val="00220629"/>
    <w:rsid w:val="0023205C"/>
    <w:rsid w:val="00247225"/>
    <w:rsid w:val="00256AE2"/>
    <w:rsid w:val="00272DB1"/>
    <w:rsid w:val="003800F3"/>
    <w:rsid w:val="003B5B93"/>
    <w:rsid w:val="00401388"/>
    <w:rsid w:val="00430C07"/>
    <w:rsid w:val="00446025"/>
    <w:rsid w:val="004A77D1"/>
    <w:rsid w:val="004B72AA"/>
    <w:rsid w:val="004F4E29"/>
    <w:rsid w:val="00567C6F"/>
    <w:rsid w:val="00567DA0"/>
    <w:rsid w:val="00573BAD"/>
    <w:rsid w:val="0058676C"/>
    <w:rsid w:val="006271BD"/>
    <w:rsid w:val="006405E6"/>
    <w:rsid w:val="00654A7B"/>
    <w:rsid w:val="00732A2E"/>
    <w:rsid w:val="007B6378"/>
    <w:rsid w:val="00802D35"/>
    <w:rsid w:val="00893EE3"/>
    <w:rsid w:val="008D1653"/>
    <w:rsid w:val="00941761"/>
    <w:rsid w:val="00B006FB"/>
    <w:rsid w:val="00B3239A"/>
    <w:rsid w:val="00B622ED"/>
    <w:rsid w:val="00B9584E"/>
    <w:rsid w:val="00C103CD"/>
    <w:rsid w:val="00C232A0"/>
    <w:rsid w:val="00C354FD"/>
    <w:rsid w:val="00C44E0E"/>
    <w:rsid w:val="00CB674C"/>
    <w:rsid w:val="00CE497F"/>
    <w:rsid w:val="00D47F19"/>
    <w:rsid w:val="00D900FB"/>
    <w:rsid w:val="00E7021A"/>
    <w:rsid w:val="00E87733"/>
    <w:rsid w:val="00F62518"/>
    <w:rsid w:val="00F74399"/>
    <w:rsid w:val="00F95123"/>
    <w:rsid w:val="00FB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271BD"/>
    <w:rPr>
      <w:rFonts w:cs="Times New Roman"/>
      <w:color w:val="0563C1"/>
      <w:u w:val="single"/>
    </w:rPr>
  </w:style>
  <w:style w:type="character" w:customStyle="1" w:styleId="hps">
    <w:name w:val="hps"/>
    <w:rsid w:val="00627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2243</CharactersWithSpaces>
  <SharedDoc>false</SharedDoc>
  <HLinks>
    <vt:vector size="12" baseType="variant">
      <vt:variant>
        <vt:i4>327722</vt:i4>
      </vt:variant>
      <vt:variant>
        <vt:i4>3</vt:i4>
      </vt:variant>
      <vt:variant>
        <vt:i4>0</vt:i4>
      </vt:variant>
      <vt:variant>
        <vt:i4>5</vt:i4>
      </vt:variant>
      <vt:variant>
        <vt:lpwstr>mailto:zhiliay@gmail.com</vt:lpwstr>
      </vt:variant>
      <vt:variant>
        <vt:lpwstr/>
      </vt:variant>
      <vt:variant>
        <vt:i4>131113</vt:i4>
      </vt:variant>
      <vt:variant>
        <vt:i4>0</vt:i4>
      </vt:variant>
      <vt:variant>
        <vt:i4>0</vt:i4>
      </vt:variant>
      <vt:variant>
        <vt:i4>5</vt:i4>
      </vt:variant>
      <vt:variant>
        <vt:lpwstr>mailto:bmsmirrnov@gmail.com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Кинетика электронов в газоразрядной плазме инертных газов с участием возбужденных атомов</dc:title>
  <dc:subject/>
  <dc:creator>Сергей Сатунин</dc:creator>
  <cp:keywords/>
  <dc:description/>
  <cp:lastModifiedBy>Сергей Сатунин</cp:lastModifiedBy>
  <cp:revision>2</cp:revision>
  <cp:lastPrinted>2015-10-14T10:51:00Z</cp:lastPrinted>
  <dcterms:created xsi:type="dcterms:W3CDTF">2016-01-20T19:35:00Z</dcterms:created>
  <dcterms:modified xsi:type="dcterms:W3CDTF">2016-01-20T19:35:00Z</dcterms:modified>
</cp:coreProperties>
</file>