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80C" w:rsidRDefault="0036380C" w:rsidP="0036380C">
      <w:pPr>
        <w:pStyle w:val="Zv-Titlereport"/>
      </w:pPr>
      <w:bookmarkStart w:id="0" w:name="OLE_LINK11"/>
      <w:bookmarkStart w:id="1" w:name="OLE_LINK12"/>
      <w:r>
        <w:t>квазиклассический расчет электронных спектров в атомах на основе двух универсальных функций</w:t>
      </w:r>
      <w:bookmarkEnd w:id="0"/>
      <w:bookmarkEnd w:id="1"/>
    </w:p>
    <w:p w:rsidR="0036380C" w:rsidRPr="00AD7ECC" w:rsidRDefault="0036380C" w:rsidP="0036380C">
      <w:pPr>
        <w:pStyle w:val="Zv-Author"/>
        <w:rPr>
          <w:vertAlign w:val="superscript"/>
        </w:rPr>
      </w:pPr>
      <w:r>
        <w:t>В.Я. Карпов</w:t>
      </w:r>
      <w:r w:rsidR="00AD7ECC" w:rsidRPr="00AD7ECC">
        <w:rPr>
          <w:vertAlign w:val="superscript"/>
        </w:rPr>
        <w:t>1</w:t>
      </w:r>
      <w:r>
        <w:t xml:space="preserve">, </w:t>
      </w:r>
      <w:r w:rsidRPr="006D0EFD">
        <w:rPr>
          <w:u w:val="single"/>
        </w:rPr>
        <w:t>Г.В. Шпатаковская</w:t>
      </w:r>
      <w:r w:rsidR="00AD7ECC" w:rsidRPr="00AD7ECC">
        <w:rPr>
          <w:vertAlign w:val="superscript"/>
        </w:rPr>
        <w:t>2</w:t>
      </w:r>
    </w:p>
    <w:p w:rsidR="0036380C" w:rsidRPr="00215096" w:rsidRDefault="00AD7ECC" w:rsidP="0036380C">
      <w:pPr>
        <w:pStyle w:val="Zv-Organization"/>
      </w:pPr>
      <w:r w:rsidRPr="00AD7ECC">
        <w:rPr>
          <w:vertAlign w:val="superscript"/>
        </w:rPr>
        <w:t>1</w:t>
      </w:r>
      <w:r w:rsidR="0036380C" w:rsidRPr="006A60A5">
        <w:t>Институт электронных управляющих машин им. И.С. Брука, г. Москва, Россия</w:t>
      </w:r>
      <w:r w:rsidR="0036380C">
        <w:t>,</w:t>
      </w:r>
      <w:r w:rsidR="0036380C" w:rsidRPr="00DE16E9">
        <w:t xml:space="preserve"> </w:t>
      </w:r>
      <w:r w:rsidR="0036380C">
        <w:br w:type="textWrapping" w:clear="all"/>
      </w:r>
      <w:r w:rsidR="0036380C" w:rsidRPr="00215096">
        <w:t xml:space="preserve">    </w:t>
      </w:r>
      <w:r w:rsidR="0036380C">
        <w:t xml:space="preserve"> </w:t>
      </w:r>
      <w:hyperlink r:id="rId7" w:history="1">
        <w:r w:rsidR="0036380C" w:rsidRPr="007A1467">
          <w:rPr>
            <w:rStyle w:val="a7"/>
          </w:rPr>
          <w:t>u1327@rambler.ru</w:t>
        </w:r>
      </w:hyperlink>
      <w:r w:rsidR="0036380C" w:rsidRPr="00215096">
        <w:br/>
      </w:r>
      <w:r>
        <w:rPr>
          <w:vertAlign w:val="superscript"/>
          <w:lang w:val="en-US"/>
        </w:rPr>
        <w:t>2</w:t>
      </w:r>
      <w:r w:rsidR="0036380C" w:rsidRPr="00955D20">
        <w:rPr>
          <w:szCs w:val="24"/>
        </w:rPr>
        <w:t>Институт прикладной математики им. М.В. Келдыша РАН, г.</w:t>
      </w:r>
      <w:r w:rsidR="0036380C">
        <w:rPr>
          <w:szCs w:val="24"/>
        </w:rPr>
        <w:t xml:space="preserve"> Москва, Россия</w:t>
      </w:r>
      <w:r w:rsidR="0036380C">
        <w:t>,</w:t>
      </w:r>
      <w:r w:rsidR="0036380C" w:rsidRPr="00DE16E9">
        <w:t xml:space="preserve"> </w:t>
      </w:r>
      <w:r w:rsidR="0036380C">
        <w:br w:type="textWrapping" w:clear="all"/>
      </w:r>
      <w:r w:rsidR="0036380C" w:rsidRPr="00215096">
        <w:t xml:space="preserve">    </w:t>
      </w:r>
      <w:r w:rsidR="0036380C">
        <w:t xml:space="preserve"> </w:t>
      </w:r>
      <w:hyperlink r:id="rId8" w:history="1">
        <w:r w:rsidR="0036380C" w:rsidRPr="007A1467">
          <w:rPr>
            <w:rStyle w:val="a7"/>
          </w:rPr>
          <w:t>shpagalya@yandex.ru</w:t>
        </w:r>
      </w:hyperlink>
    </w:p>
    <w:p w:rsidR="0036380C" w:rsidRPr="0087602E" w:rsidRDefault="0036380C" w:rsidP="0036380C">
      <w:pPr>
        <w:pStyle w:val="Zv-bodyreport"/>
      </w:pPr>
      <w:r w:rsidRPr="0087602E">
        <w:t>В работе [1] одного из авторов (см. также обзоры [2, 3]) исследовались особенности электронных спектров в системах с центральным самосогласованным потенциалом</w:t>
      </w:r>
      <w:r w:rsidRPr="004A4B6C">
        <w:t xml:space="preserve"> </w:t>
      </w:r>
      <w:r>
        <w:t>притяжения</w:t>
      </w:r>
      <w:r w:rsidRPr="0087602E">
        <w:t xml:space="preserve">, в частности с потенциалом, имеющим в нуле кулоновскую особенность. Как известно, экранирование кулоновского потенциала приводит к снятию вырождения по орбитальному квантовому числу </w:t>
      </w:r>
      <w:r w:rsidRPr="00576D0E">
        <w:rPr>
          <w:position w:val="-6"/>
        </w:rPr>
        <w:object w:dxaOrig="16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.25pt;height:15pt" o:ole="">
            <v:imagedata r:id="rId9" o:title=""/>
          </v:shape>
          <o:OLEObject Type="Embed" ProgID="Equation.3" ShapeID="_x0000_i1025" DrawAspect="Content" ObjectID="_1513262987" r:id="rId10"/>
        </w:object>
      </w:r>
      <w:r w:rsidRPr="0087602E">
        <w:t xml:space="preserve">. В [1] было показано, что при этом отклонение уровня </w:t>
      </w:r>
      <w:r w:rsidRPr="00576D0E">
        <w:rPr>
          <w:position w:val="-12"/>
        </w:rPr>
        <w:object w:dxaOrig="420" w:dyaOrig="380">
          <v:shape id="_x0000_i1026" type="#_x0000_t75" style="width:21pt;height:18.75pt" o:ole="">
            <v:imagedata r:id="rId11" o:title=""/>
          </v:shape>
          <o:OLEObject Type="Embed" ProgID="Equation.3" ShapeID="_x0000_i1026" DrawAspect="Content" ObjectID="_1513262988" r:id="rId12"/>
        </w:object>
      </w:r>
      <w:r w:rsidRPr="0087602E">
        <w:t xml:space="preserve"> от энергии </w:t>
      </w:r>
      <w:r w:rsidRPr="00EF3DD7">
        <w:rPr>
          <w:i/>
          <w:iCs/>
          <w:sz w:val="28"/>
          <w:szCs w:val="28"/>
        </w:rPr>
        <w:t xml:space="preserve">s </w:t>
      </w:r>
      <w:r>
        <w:t>—</w:t>
      </w:r>
      <w:r w:rsidRPr="0087602E">
        <w:t xml:space="preserve"> уровня </w:t>
      </w:r>
      <w:r w:rsidRPr="00576D0E">
        <w:rPr>
          <w:position w:val="-12"/>
        </w:rPr>
        <w:object w:dxaOrig="460" w:dyaOrig="380">
          <v:shape id="_x0000_i1027" type="#_x0000_t75" style="width:23.25pt;height:18.75pt" o:ole="">
            <v:imagedata r:id="rId13" o:title=""/>
          </v:shape>
          <o:OLEObject Type="Embed" ProgID="Equation.3" ShapeID="_x0000_i1027" DrawAspect="Content" ObjectID="_1513262989" r:id="rId14"/>
        </w:object>
      </w:r>
      <w:r w:rsidRPr="0087602E">
        <w:t xml:space="preserve"> квадратично зависит от величины </w:t>
      </w:r>
      <w:r w:rsidRPr="00ED7DDC">
        <w:rPr>
          <w:position w:val="-6"/>
        </w:rPr>
        <w:object w:dxaOrig="1260" w:dyaOrig="300">
          <v:shape id="_x0000_i1028" type="#_x0000_t75" style="width:63pt;height:15pt" o:ole="">
            <v:imagedata r:id="rId15" o:title=""/>
          </v:shape>
          <o:OLEObject Type="Embed" ProgID="Equation.3" ShapeID="_x0000_i1028" DrawAspect="Content" ObjectID="_1513262990" r:id="rId16"/>
        </w:object>
      </w:r>
      <w:r w:rsidRPr="0040735C">
        <w:t xml:space="preserve"> (</w:t>
      </w:r>
      <w:r w:rsidRPr="00576D0E">
        <w:rPr>
          <w:position w:val="-6"/>
        </w:rPr>
        <w:object w:dxaOrig="220" w:dyaOrig="240">
          <v:shape id="_x0000_i1029" type="#_x0000_t75" style="width:11.25pt;height:12pt" o:ole="">
            <v:imagedata r:id="rId17" o:title=""/>
          </v:shape>
          <o:OLEObject Type="Embed" ProgID="Equation.3" ShapeID="_x0000_i1029" DrawAspect="Content" ObjectID="_1513262991" r:id="rId18"/>
        </w:object>
      </w:r>
      <w:r>
        <w:t>— главное квантовое число</w:t>
      </w:r>
      <w:r w:rsidRPr="0040735C">
        <w:t>)</w:t>
      </w:r>
      <w:r w:rsidRPr="0087602E">
        <w:t xml:space="preserve">. Кроме того, анализ атомных спектров  тяжелых элементов, рассчитанных по нерелятивистской модели Хартри-Фока, показал, что такая зависимость </w:t>
      </w:r>
      <w:r>
        <w:t>имеет место даже</w:t>
      </w:r>
      <w:r w:rsidRPr="0087602E">
        <w:t xml:space="preserve">  при</w:t>
      </w:r>
      <w:r>
        <w:t xml:space="preserve"> не малых</w:t>
      </w:r>
      <w:r w:rsidRPr="0087602E">
        <w:t xml:space="preserve"> </w:t>
      </w:r>
      <w:r w:rsidRPr="0087602E">
        <w:rPr>
          <w:position w:val="-12"/>
        </w:rPr>
        <w:object w:dxaOrig="960" w:dyaOrig="360">
          <v:shape id="_x0000_i1030" type="#_x0000_t75" style="width:48pt;height:18pt" o:ole="">
            <v:imagedata r:id="rId19" o:title=""/>
          </v:shape>
          <o:OLEObject Type="Embed" ProgID="Equation.3" ShapeID="_x0000_i1030" DrawAspect="Content" ObjectID="_1513262992" r:id="rId20"/>
        </w:object>
      </w:r>
      <w:r w:rsidRPr="0087602E">
        <w:t>. Это дало основание для предлагаемого в данной работе метода расчета электронных спектров в атомах.</w:t>
      </w:r>
    </w:p>
    <w:p w:rsidR="0036380C" w:rsidRDefault="0036380C" w:rsidP="0036380C">
      <w:pPr>
        <w:pStyle w:val="Zv-bodyreport"/>
      </w:pPr>
      <w:r>
        <w:t xml:space="preserve">Квазиклассическое приближение применяется к расчету электронного спектра свободного  атома. Используется свойство подобия по атомному номеру в модели Томаса-Ферми (ТФ) и квазиклассическое условие квантования Бора-Зоммерфельда. В области справедливости квадратичной зависимости уровней энергии от орбитального момента оказывается возможным вычислять спектр любого элемента в потенциале ТФ на основе двух универсальных  функций, рассчитанных для водорода (атомный номер </w:t>
      </w:r>
      <w:r w:rsidRPr="00FB49DD">
        <w:rPr>
          <w:position w:val="-4"/>
        </w:rPr>
        <w:object w:dxaOrig="639" w:dyaOrig="279">
          <v:shape id="_x0000_i1031" type="#_x0000_t75" style="width:32.25pt;height:14.25pt" o:ole="">
            <v:imagedata r:id="rId21" o:title=""/>
          </v:shape>
          <o:OLEObject Type="Embed" ProgID="Equation.3" ShapeID="_x0000_i1031" DrawAspect="Content" ObjectID="_1513262993" r:id="rId22"/>
        </w:object>
      </w:r>
      <w:r>
        <w:t xml:space="preserve">). Одна из этих функций </w:t>
      </w:r>
      <w:r w:rsidRPr="00165481">
        <w:rPr>
          <w:position w:val="-12"/>
        </w:rPr>
        <w:object w:dxaOrig="620" w:dyaOrig="360">
          <v:shape id="_x0000_i1032" type="#_x0000_t75" style="width:30.75pt;height:18pt" o:ole="">
            <v:imagedata r:id="rId23" o:title=""/>
          </v:shape>
          <o:OLEObject Type="Embed" ProgID="Equation.3" ShapeID="_x0000_i1032" DrawAspect="Content" ObjectID="_1513262994" r:id="rId24"/>
        </w:object>
      </w:r>
      <w:r>
        <w:t xml:space="preserve"> — это зависимость действия от энергии электрона в </w:t>
      </w:r>
      <w:r w:rsidRPr="00651A55">
        <w:rPr>
          <w:i/>
          <w:iCs/>
          <w:sz w:val="28"/>
          <w:szCs w:val="28"/>
          <w:lang w:val="en-US"/>
        </w:rPr>
        <w:t>s</w:t>
      </w:r>
      <w:r w:rsidRPr="00856340">
        <w:t>-</w:t>
      </w:r>
      <w:r>
        <w:t xml:space="preserve">состоянии.  </w:t>
      </w:r>
    </w:p>
    <w:p w:rsidR="0036380C" w:rsidRDefault="0036380C" w:rsidP="0036380C">
      <w:pPr>
        <w:pStyle w:val="Zv-bodyreport"/>
      </w:pPr>
      <w:r>
        <w:t xml:space="preserve">Сначала вычисляется энергия  </w:t>
      </w:r>
      <w:r w:rsidRPr="00137CE1">
        <w:rPr>
          <w:i/>
          <w:iCs/>
          <w:sz w:val="28"/>
          <w:szCs w:val="28"/>
        </w:rPr>
        <w:t>s</w:t>
      </w:r>
      <w:r>
        <w:t xml:space="preserve"> —</w:t>
      </w:r>
      <w:r w:rsidRPr="0087602E">
        <w:t xml:space="preserve"> уровня</w:t>
      </w:r>
      <w:r>
        <w:t xml:space="preserve"> из условия </w:t>
      </w:r>
    </w:p>
    <w:p w:rsidR="0036380C" w:rsidRDefault="0036380C" w:rsidP="0036380C">
      <w:pPr>
        <w:pStyle w:val="Zv-formula"/>
      </w:pPr>
      <w:r>
        <w:t xml:space="preserve"> </w:t>
      </w:r>
      <w:r>
        <w:tab/>
      </w:r>
      <w:r w:rsidRPr="00165481">
        <w:rPr>
          <w:position w:val="-12"/>
        </w:rPr>
        <w:object w:dxaOrig="3500" w:dyaOrig="440">
          <v:shape id="_x0000_i1033" type="#_x0000_t75" style="width:174.75pt;height:21.75pt" o:ole="">
            <v:imagedata r:id="rId25" o:title=""/>
          </v:shape>
          <o:OLEObject Type="Embed" ProgID="Equation.3" ShapeID="_x0000_i1033" DrawAspect="Content" ObjectID="_1513262995" r:id="rId26"/>
        </w:object>
      </w:r>
      <w:r>
        <w:t xml:space="preserve"> ,</w:t>
      </w:r>
      <w:r>
        <w:tab/>
        <w:t>(1)</w:t>
      </w:r>
    </w:p>
    <w:p w:rsidR="0036380C" w:rsidRDefault="0036380C" w:rsidP="0036380C">
      <w:pPr>
        <w:pStyle w:val="Zv-bodyreportcont"/>
      </w:pPr>
      <w:r>
        <w:t xml:space="preserve">а затем используется квадратичная формула для вычисления других уровней энергии </w:t>
      </w:r>
    </w:p>
    <w:p w:rsidR="0036380C" w:rsidRDefault="0036380C" w:rsidP="0036380C">
      <w:pPr>
        <w:pStyle w:val="Zv-formula"/>
      </w:pPr>
      <w:r>
        <w:t xml:space="preserve"> </w:t>
      </w:r>
      <w:r>
        <w:tab/>
      </w:r>
      <w:r w:rsidRPr="00165481">
        <w:rPr>
          <w:position w:val="-12"/>
        </w:rPr>
        <w:object w:dxaOrig="2960" w:dyaOrig="440">
          <v:shape id="_x0000_i1034" type="#_x0000_t75" style="width:147.75pt;height:21.75pt" o:ole="">
            <v:imagedata r:id="rId27" o:title=""/>
          </v:shape>
          <o:OLEObject Type="Embed" ProgID="Equation.3" ShapeID="_x0000_i1034" DrawAspect="Content" ObjectID="_1513262996" r:id="rId28"/>
        </w:object>
      </w:r>
      <w:r>
        <w:tab/>
        <w:t>(2)</w:t>
      </w:r>
    </w:p>
    <w:p w:rsidR="0036380C" w:rsidRDefault="0036380C" w:rsidP="0036380C">
      <w:pPr>
        <w:pStyle w:val="Zv-bodyreportcont"/>
      </w:pPr>
      <w:r>
        <w:t xml:space="preserve">Приводится алгоритм вычисления функции </w:t>
      </w:r>
      <w:r w:rsidRPr="00576D0E">
        <w:rPr>
          <w:position w:val="-12"/>
        </w:rPr>
        <w:object w:dxaOrig="639" w:dyaOrig="360">
          <v:shape id="_x0000_i1035" type="#_x0000_t75" style="width:32.25pt;height:18pt" o:ole="">
            <v:imagedata r:id="rId29" o:title=""/>
          </v:shape>
          <o:OLEObject Type="Embed" ProgID="Equation.3" ShapeID="_x0000_i1035" DrawAspect="Content" ObjectID="_1513262997" r:id="rId30"/>
        </w:object>
      </w:r>
      <w:r>
        <w:t xml:space="preserve">, соответствующие таблицы и графики обеих функций. Проведено сравнение с результатами расчета спектра </w:t>
      </w:r>
      <w:r w:rsidRPr="00576D0E">
        <w:rPr>
          <w:position w:val="-12"/>
        </w:rPr>
        <w:object w:dxaOrig="420" w:dyaOrig="380">
          <v:shape id="_x0000_i1036" type="#_x0000_t75" style="width:21pt;height:18.75pt" o:ole="">
            <v:imagedata r:id="rId11" o:title=""/>
          </v:shape>
          <o:OLEObject Type="Embed" ProgID="Equation.3" ShapeID="_x0000_i1036" DrawAspect="Content" ObjectID="_1513262998" r:id="rId31"/>
        </w:object>
      </w:r>
      <w:r>
        <w:t xml:space="preserve"> непосредственно из условия квантования Бора-Зоммерфельда и с результатами </w:t>
      </w:r>
      <w:r w:rsidRPr="0087602E">
        <w:t>нерелятивистской модели Хартри-Фока</w:t>
      </w:r>
      <w:r>
        <w:t>.</w:t>
      </w:r>
    </w:p>
    <w:p w:rsidR="0036380C" w:rsidRPr="006D28D3" w:rsidRDefault="0036380C" w:rsidP="0036380C">
      <w:pPr>
        <w:pStyle w:val="Zv-bodyreport"/>
      </w:pPr>
      <w:r>
        <w:t>Данная</w:t>
      </w:r>
      <w:r w:rsidRPr="006D28D3">
        <w:t xml:space="preserve"> </w:t>
      </w:r>
      <w:r>
        <w:t>работа</w:t>
      </w:r>
      <w:r w:rsidRPr="006D28D3">
        <w:t xml:space="preserve"> </w:t>
      </w:r>
      <w:r>
        <w:t>частично</w:t>
      </w:r>
      <w:r w:rsidRPr="006D28D3">
        <w:t xml:space="preserve"> </w:t>
      </w:r>
      <w:r>
        <w:t>поддержана</w:t>
      </w:r>
      <w:r w:rsidRPr="006D28D3">
        <w:t xml:space="preserve"> </w:t>
      </w:r>
      <w:r>
        <w:t>Российским</w:t>
      </w:r>
      <w:r w:rsidRPr="006D28D3">
        <w:t xml:space="preserve"> </w:t>
      </w:r>
      <w:r>
        <w:t>фондом</w:t>
      </w:r>
      <w:r w:rsidRPr="006D28D3">
        <w:t xml:space="preserve"> </w:t>
      </w:r>
      <w:r>
        <w:t>фундаментальных</w:t>
      </w:r>
      <w:r w:rsidRPr="006D28D3">
        <w:t xml:space="preserve"> </w:t>
      </w:r>
      <w:r>
        <w:t>исследований</w:t>
      </w:r>
      <w:r w:rsidRPr="006D28D3">
        <w:t xml:space="preserve"> (</w:t>
      </w:r>
      <w:r w:rsidRPr="006D28D3">
        <w:rPr>
          <w:lang w:val="en-US"/>
        </w:rPr>
        <w:t>project</w:t>
      </w:r>
      <w:r w:rsidRPr="006D28D3">
        <w:t xml:space="preserve"> </w:t>
      </w:r>
      <w:r w:rsidRPr="006D28D3">
        <w:rPr>
          <w:lang w:val="en-US"/>
        </w:rPr>
        <w:t>no</w:t>
      </w:r>
      <w:r w:rsidRPr="006D28D3">
        <w:t>. 14-01-00828).</w:t>
      </w:r>
    </w:p>
    <w:p w:rsidR="0036380C" w:rsidRPr="006D28D3" w:rsidRDefault="0036380C" w:rsidP="0036380C">
      <w:pPr>
        <w:pStyle w:val="Zv-TitleReferences-ru"/>
        <w:rPr>
          <w:lang w:val="en-US"/>
        </w:rPr>
      </w:pPr>
      <w:r>
        <w:t>Литература</w:t>
      </w:r>
    </w:p>
    <w:p w:rsidR="0036380C" w:rsidRDefault="0036380C" w:rsidP="0036380C">
      <w:pPr>
        <w:pStyle w:val="Zv-References-ru"/>
        <w:numPr>
          <w:ilvl w:val="0"/>
          <w:numId w:val="1"/>
        </w:numPr>
      </w:pPr>
      <w:r w:rsidRPr="00B977B5">
        <w:t>Шпатаковская</w:t>
      </w:r>
      <w:r>
        <w:t xml:space="preserve"> </w:t>
      </w:r>
      <w:r w:rsidRPr="00B977B5">
        <w:t>Г.В.</w:t>
      </w:r>
      <w:r>
        <w:t xml:space="preserve"> Письма в ЖЭТФ, 2001, </w:t>
      </w:r>
      <w:r w:rsidRPr="00175913">
        <w:rPr>
          <w:b/>
          <w:bCs/>
        </w:rPr>
        <w:t>73</w:t>
      </w:r>
      <w:r>
        <w:t>, 306.</w:t>
      </w:r>
    </w:p>
    <w:p w:rsidR="0036380C" w:rsidRPr="00B977B5" w:rsidRDefault="0036380C" w:rsidP="0036380C">
      <w:pPr>
        <w:pStyle w:val="Zv-References-ru"/>
        <w:numPr>
          <w:ilvl w:val="0"/>
          <w:numId w:val="1"/>
        </w:numPr>
      </w:pPr>
      <w:r w:rsidRPr="00B977B5">
        <w:t>Шпатаковская</w:t>
      </w:r>
      <w:r>
        <w:t xml:space="preserve"> </w:t>
      </w:r>
      <w:r w:rsidRPr="00B977B5">
        <w:t>Г.В. УФН, 2012</w:t>
      </w:r>
      <w:r>
        <w:t xml:space="preserve">, </w:t>
      </w:r>
      <w:r w:rsidRPr="00B977B5">
        <w:rPr>
          <w:b/>
          <w:bCs/>
        </w:rPr>
        <w:t>182</w:t>
      </w:r>
      <w:r w:rsidRPr="00B977B5">
        <w:t>, 457</w:t>
      </w:r>
      <w:r>
        <w:t>.</w:t>
      </w:r>
    </w:p>
    <w:p w:rsidR="0036380C" w:rsidRPr="00175913" w:rsidRDefault="0036380C" w:rsidP="0036380C">
      <w:pPr>
        <w:pStyle w:val="Zv-References-ru"/>
        <w:numPr>
          <w:ilvl w:val="0"/>
          <w:numId w:val="1"/>
        </w:numPr>
      </w:pPr>
      <w:r w:rsidRPr="00B977B5">
        <w:t>Шпатаковская</w:t>
      </w:r>
      <w:r>
        <w:t xml:space="preserve"> </w:t>
      </w:r>
      <w:r w:rsidRPr="00B977B5">
        <w:t>Галина, Квазиклассический метод в задачах</w:t>
      </w:r>
      <w:r>
        <w:t xml:space="preserve"> </w:t>
      </w:r>
      <w:r w:rsidRPr="00B977B5">
        <w:t>квантовой физики.</w:t>
      </w:r>
      <w:r>
        <w:t xml:space="preserve"> </w:t>
      </w:r>
      <w:r w:rsidRPr="00B977B5">
        <w:t xml:space="preserve"> (</w:t>
      </w:r>
      <w:r w:rsidRPr="00B977B5">
        <w:rPr>
          <w:lang w:val="en-US"/>
        </w:rPr>
        <w:t>LAP</w:t>
      </w:r>
      <w:r w:rsidRPr="00B977B5">
        <w:t xml:space="preserve"> </w:t>
      </w:r>
      <w:r w:rsidRPr="00B977B5">
        <w:rPr>
          <w:lang w:val="en-US"/>
        </w:rPr>
        <w:t>LAMBERT</w:t>
      </w:r>
      <w:r w:rsidRPr="00B977B5">
        <w:t xml:space="preserve"> </w:t>
      </w:r>
      <w:r w:rsidRPr="00B977B5">
        <w:rPr>
          <w:lang w:val="en-US"/>
        </w:rPr>
        <w:t>Academic</w:t>
      </w:r>
      <w:r w:rsidRPr="00B977B5">
        <w:t xml:space="preserve"> </w:t>
      </w:r>
      <w:r w:rsidRPr="00B977B5">
        <w:rPr>
          <w:lang w:val="en-US"/>
        </w:rPr>
        <w:t>Publishing</w:t>
      </w:r>
      <w:r w:rsidRPr="00B977B5">
        <w:t xml:space="preserve"> </w:t>
      </w:r>
      <w:r w:rsidRPr="00B977B5">
        <w:rPr>
          <w:lang w:val="en-US"/>
        </w:rPr>
        <w:t>GmbH</w:t>
      </w:r>
      <w:r w:rsidRPr="00B977B5">
        <w:t>, 2012)</w:t>
      </w:r>
      <w:r>
        <w:t xml:space="preserve"> , </w:t>
      </w:r>
      <w:r w:rsidRPr="00B977B5">
        <w:rPr>
          <w:lang w:val="en-US"/>
        </w:rPr>
        <w:t>ISBN</w:t>
      </w:r>
      <w:r w:rsidRPr="00081CAF">
        <w:t xml:space="preserve">  978-3-8465-2681-1</w:t>
      </w:r>
      <w:r>
        <w:t xml:space="preserve"> (на русск. яз.)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default" r:id="rId32"/>
      <w:footerReference w:type="even" r:id="rId33"/>
      <w:footerReference w:type="default" r:id="rId34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78B8" w:rsidRDefault="00F178B8">
      <w:r>
        <w:separator/>
      </w:r>
    </w:p>
  </w:endnote>
  <w:endnote w:type="continuationSeparator" w:id="0">
    <w:p w:rsidR="00F178B8" w:rsidRDefault="00F178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A7C88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A7C88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D7ECC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78B8" w:rsidRDefault="00F178B8">
      <w:r>
        <w:separator/>
      </w:r>
    </w:p>
  </w:footnote>
  <w:footnote w:type="continuationSeparator" w:id="0">
    <w:p w:rsidR="00F178B8" w:rsidRDefault="00F178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551AC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2551AC" w:rsidRPr="0036380C">
      <w:rPr>
        <w:sz w:val="20"/>
      </w:rPr>
      <w:t>8</w:t>
    </w:r>
    <w:r>
      <w:rPr>
        <w:sz w:val="20"/>
      </w:rPr>
      <w:t xml:space="preserve"> – 1</w:t>
    </w:r>
    <w:r w:rsidR="002551AC" w:rsidRPr="0036380C">
      <w:rPr>
        <w:sz w:val="20"/>
      </w:rPr>
      <w:t>2</w:t>
    </w:r>
    <w:r>
      <w:rPr>
        <w:sz w:val="20"/>
      </w:rPr>
      <w:t xml:space="preserve"> февраля 201</w:t>
    </w:r>
    <w:r w:rsidR="002551AC" w:rsidRPr="0036380C">
      <w:rPr>
        <w:sz w:val="20"/>
      </w:rPr>
      <w:t>6</w:t>
    </w:r>
    <w:r>
      <w:rPr>
        <w:sz w:val="20"/>
      </w:rPr>
      <w:t xml:space="preserve"> г.</w:t>
    </w:r>
  </w:p>
  <w:p w:rsidR="00654A7B" w:rsidRDefault="005A7C88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76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D7ECC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36380C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5A7C88"/>
    <w:rsid w:val="00654A7B"/>
    <w:rsid w:val="006A4E54"/>
    <w:rsid w:val="00732A2E"/>
    <w:rsid w:val="007B6378"/>
    <w:rsid w:val="007E06CE"/>
    <w:rsid w:val="00802D35"/>
    <w:rsid w:val="00930480"/>
    <w:rsid w:val="0094051A"/>
    <w:rsid w:val="00953341"/>
    <w:rsid w:val="009D46CB"/>
    <w:rsid w:val="00AD7ECC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ED6260"/>
    <w:rsid w:val="00F178B8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36380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pagalya@yandex.ru" TargetMode="Externa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" Type="http://schemas.openxmlformats.org/officeDocument/2006/relationships/settings" Target="settings.xml"/><Relationship Id="rId21" Type="http://schemas.openxmlformats.org/officeDocument/2006/relationships/image" Target="media/image7.wmf"/><Relationship Id="rId34" Type="http://schemas.openxmlformats.org/officeDocument/2006/relationships/footer" Target="footer2.xml"/><Relationship Id="rId7" Type="http://schemas.openxmlformats.org/officeDocument/2006/relationships/hyperlink" Target="mailto:u1327@rambler.ru" TargetMode="Externa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1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31" Type="http://schemas.openxmlformats.org/officeDocument/2006/relationships/oleObject" Target="embeddings/oleObject12.bin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5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6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Zven_2016_r</Template>
  <TotalTime>3</TotalTime>
  <Pages>1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2768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 Сатунин</dc:creator>
  <cp:keywords/>
  <dc:description/>
  <cp:lastModifiedBy>Сергей Сатунин</cp:lastModifiedBy>
  <cp:revision>2</cp:revision>
  <cp:lastPrinted>1601-01-01T00:00:00Z</cp:lastPrinted>
  <dcterms:created xsi:type="dcterms:W3CDTF">2016-01-02T14:54:00Z</dcterms:created>
  <dcterms:modified xsi:type="dcterms:W3CDTF">2016-01-02T15:02:00Z</dcterms:modified>
</cp:coreProperties>
</file>