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FB" w:rsidRDefault="00125FFB" w:rsidP="00AA55B2">
      <w:pPr>
        <w:pStyle w:val="Zv-Author"/>
        <w:ind w:left="1276" w:right="1274"/>
        <w:rPr>
          <w:b/>
          <w:bCs w:val="0"/>
          <w:iCs w:val="0"/>
          <w:caps/>
          <w:kern w:val="24"/>
        </w:rPr>
      </w:pPr>
      <w:bookmarkStart w:id="0" w:name="OLE_LINK9"/>
      <w:bookmarkStart w:id="1" w:name="OLE_LINK10"/>
      <w:r>
        <w:rPr>
          <w:b/>
          <w:bCs w:val="0"/>
          <w:iCs w:val="0"/>
          <w:caps/>
          <w:kern w:val="24"/>
        </w:rPr>
        <w:t>Расчет скорости</w:t>
      </w:r>
      <w:r w:rsidRPr="00E64037">
        <w:rPr>
          <w:b/>
          <w:bCs w:val="0"/>
          <w:iCs w:val="0"/>
          <w:caps/>
          <w:kern w:val="24"/>
        </w:rPr>
        <w:t xml:space="preserve"> диэлектр</w:t>
      </w:r>
      <w:r>
        <w:rPr>
          <w:b/>
          <w:bCs w:val="0"/>
          <w:iCs w:val="0"/>
          <w:caps/>
          <w:kern w:val="24"/>
        </w:rPr>
        <w:t xml:space="preserve">онной рекомбинации в </w:t>
      </w:r>
      <w:bookmarkStart w:id="2" w:name="_GoBack"/>
      <w:bookmarkEnd w:id="2"/>
      <w:r w:rsidRPr="00E64037">
        <w:rPr>
          <w:b/>
          <w:bCs w:val="0"/>
          <w:iCs w:val="0"/>
          <w:caps/>
          <w:kern w:val="24"/>
        </w:rPr>
        <w:t>статистической модели</w:t>
      </w:r>
      <w:bookmarkEnd w:id="0"/>
      <w:bookmarkEnd w:id="1"/>
    </w:p>
    <w:p w:rsidR="00125FFB" w:rsidRDefault="00125FFB" w:rsidP="00E04BC6">
      <w:pPr>
        <w:pStyle w:val="Zv-Author"/>
      </w:pPr>
      <w:r w:rsidRPr="001333FE">
        <w:t>А.В</w:t>
      </w:r>
      <w:r>
        <w:t>.</w:t>
      </w:r>
      <w:r w:rsidRPr="001333FE">
        <w:t xml:space="preserve"> Демура</w:t>
      </w:r>
      <w:r w:rsidRPr="002722EC">
        <w:rPr>
          <w:vertAlign w:val="superscript"/>
        </w:rPr>
        <w:t>1</w:t>
      </w:r>
      <w:r>
        <w:t xml:space="preserve">, </w:t>
      </w:r>
      <w:r w:rsidRPr="001333FE">
        <w:t>Д.С.</w:t>
      </w:r>
      <w:r w:rsidRPr="00D007BA">
        <w:t xml:space="preserve"> </w:t>
      </w:r>
      <w:r w:rsidRPr="001333FE">
        <w:t>Леонтьев</w:t>
      </w:r>
      <w:r>
        <w:rPr>
          <w:vertAlign w:val="superscript"/>
        </w:rPr>
        <w:t>1,2</w:t>
      </w:r>
      <w:r w:rsidRPr="001333FE">
        <w:t>,</w:t>
      </w:r>
      <w:r>
        <w:t xml:space="preserve"> В.С.</w:t>
      </w:r>
      <w:r w:rsidRPr="00D007BA">
        <w:t xml:space="preserve"> </w:t>
      </w:r>
      <w:r>
        <w:t>Лисица</w:t>
      </w:r>
      <w:r>
        <w:rPr>
          <w:vertAlign w:val="superscript"/>
        </w:rPr>
        <w:t>1,2</w:t>
      </w:r>
      <w:r>
        <w:t xml:space="preserve">, </w:t>
      </w:r>
      <w:r w:rsidRPr="001333FE">
        <w:t>В.А.</w:t>
      </w:r>
      <w:r w:rsidRPr="00D007BA">
        <w:t xml:space="preserve"> </w:t>
      </w:r>
      <w:r>
        <w:t>Шурыгин</w:t>
      </w:r>
      <w:r>
        <w:rPr>
          <w:vertAlign w:val="superscript"/>
        </w:rPr>
        <w:t>1</w:t>
      </w:r>
      <w:r w:rsidRPr="001333FE">
        <w:t xml:space="preserve"> </w:t>
      </w:r>
    </w:p>
    <w:p w:rsidR="00125FFB" w:rsidRDefault="00E02534" w:rsidP="00E04BC6">
      <w:pPr>
        <w:pStyle w:val="Zv-Organization"/>
      </w:pPr>
      <w:r w:rsidRPr="00AA55B2">
        <w:rPr>
          <w:szCs w:val="24"/>
          <w:vertAlign w:val="superscript"/>
        </w:rPr>
        <w:t>1</w:t>
      </w:r>
      <w:r w:rsidRPr="002F20E6">
        <w:rPr>
          <w:szCs w:val="24"/>
        </w:rPr>
        <w:t>Национальный исследовательский центр «Курчатовский институт», г. Москва,</w:t>
      </w:r>
      <w:r w:rsidR="008615F1" w:rsidRPr="008615F1">
        <w:rPr>
          <w:szCs w:val="24"/>
        </w:rPr>
        <w:br/>
      </w:r>
      <w:r w:rsidR="008615F1" w:rsidRPr="004C3F60">
        <w:rPr>
          <w:szCs w:val="24"/>
        </w:rPr>
        <w:t xml:space="preserve">    </w:t>
      </w:r>
      <w:r w:rsidRPr="002F20E6">
        <w:rPr>
          <w:szCs w:val="24"/>
        </w:rPr>
        <w:t xml:space="preserve"> Россия</w:t>
      </w:r>
      <w:r w:rsidR="00125FFB">
        <w:br/>
      </w:r>
      <w:r w:rsidRPr="00AA55B2">
        <w:rPr>
          <w:vertAlign w:val="superscript"/>
        </w:rPr>
        <w:t>2</w:t>
      </w:r>
      <w:r>
        <w:rPr>
          <w:szCs w:val="24"/>
        </w:rPr>
        <w:t>Московский инженерно-физический институт, г. Москва, Россия</w:t>
      </w:r>
    </w:p>
    <w:p w:rsidR="00125FFB" w:rsidRDefault="00125FFB" w:rsidP="00231DBE">
      <w:pPr>
        <w:pStyle w:val="Zv-bodyreport"/>
        <w:spacing w:line="228" w:lineRule="auto"/>
      </w:pPr>
      <w:r>
        <w:t xml:space="preserve">Расчет скоростей диэлектронной рекомбинации требует знания квантовомеханических величин: </w:t>
      </w:r>
      <w:r w:rsidRPr="00CC0628">
        <w:t>вероятность радиацио</w:t>
      </w:r>
      <w:r>
        <w:t xml:space="preserve">нного перехода внутри ядра иона </w:t>
      </w:r>
      <w:r w:rsidRPr="00A07CAF">
        <w:rPr>
          <w:i/>
          <w:lang w:val="en-US"/>
        </w:rPr>
        <w:t>W</w:t>
      </w:r>
      <w:r w:rsidRPr="00A07CAF">
        <w:rPr>
          <w:i/>
          <w:vertAlign w:val="subscript"/>
          <w:lang w:val="en-US"/>
        </w:rPr>
        <w:t>R</w:t>
      </w:r>
      <w:r>
        <w:t xml:space="preserve"> и скорости </w:t>
      </w:r>
      <w:r w:rsidRPr="00CC0628">
        <w:t>автоионизационного распада возбужденного атомного энергетического уровня</w:t>
      </w:r>
      <w:r w:rsidRPr="00A07CAF">
        <w:t xml:space="preserve"> </w:t>
      </w:r>
      <w:r w:rsidRPr="00A07CAF">
        <w:rPr>
          <w:i/>
          <w:lang w:val="en-US"/>
        </w:rPr>
        <w:t>W</w:t>
      </w:r>
      <w:r w:rsidRPr="00A07CAF">
        <w:rPr>
          <w:i/>
          <w:vertAlign w:val="subscript"/>
          <w:lang w:val="en-US"/>
        </w:rPr>
        <w:t>A</w:t>
      </w:r>
      <w:r w:rsidRPr="00A07CAF">
        <w:t>(</w:t>
      </w:r>
      <w:r>
        <w:rPr>
          <w:i/>
          <w:lang w:val="en-US"/>
        </w:rPr>
        <w:t>n</w:t>
      </w:r>
      <w:r w:rsidRPr="00A07CAF">
        <w:rPr>
          <w:i/>
        </w:rPr>
        <w:t>,</w:t>
      </w:r>
      <w:r>
        <w:rPr>
          <w:i/>
          <w:lang w:val="en-US"/>
        </w:rPr>
        <w:t>l</w:t>
      </w:r>
      <w:r w:rsidRPr="00A07CAF">
        <w:t>)</w:t>
      </w:r>
      <w:r>
        <w:t>.</w:t>
      </w:r>
      <w:r w:rsidRPr="00A07CAF">
        <w:t xml:space="preserve"> </w:t>
      </w:r>
    </w:p>
    <w:p w:rsidR="00125FFB" w:rsidRPr="00C40377" w:rsidRDefault="00125FFB" w:rsidP="00231DBE">
      <w:pPr>
        <w:pStyle w:val="Zv-formula"/>
        <w:spacing w:line="228" w:lineRule="auto"/>
        <w:rPr>
          <w:rFonts w:ascii="Cambria Math" w:hAnsi="Cambria Math"/>
          <w:i/>
          <w:iCs/>
        </w:rPr>
      </w:pPr>
      <w:r>
        <w:t xml:space="preserve">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dr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3/2</m:t>
            </m: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l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</w:rPr>
              <m:t>exp⁡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den>
            </m:f>
          </m:e>
        </m:nary>
      </m:oMath>
      <w:r>
        <w:tab/>
      </w:r>
      <w:r w:rsidRPr="00C40377">
        <w:t>(1)</w:t>
      </w:r>
    </w:p>
    <w:p w:rsidR="00125FFB" w:rsidRDefault="00125FFB" w:rsidP="00231DBE">
      <w:pPr>
        <w:pStyle w:val="Zv-bodyreport"/>
        <w:spacing w:line="228" w:lineRule="auto"/>
      </w:pPr>
      <w:r>
        <w:t>Детальный расчет этих величин занимает много времени и ресурсов. В данной работе скорость диэлектронной рекомбинации вычисляется в приближении статистической модели атома. Согласно модели, ион представляется набором осцилляторов, колеблющихся с частотами, зависящими от электронной плотности</w:t>
      </w:r>
      <w:r w:rsidRPr="00DD1582">
        <w:t>[</w:t>
      </w:r>
      <w:r w:rsidRPr="009336EB">
        <w:t>1</w:t>
      </w:r>
      <w:r w:rsidRPr="00DD1582">
        <w:t>]</w:t>
      </w:r>
      <w:r>
        <w:t>:</w:t>
      </w:r>
    </w:p>
    <w:p w:rsidR="00125FFB" w:rsidRPr="00C40377" w:rsidRDefault="00125FFB" w:rsidP="00231DBE">
      <w:pPr>
        <w:pStyle w:val="Zv-formula"/>
        <w:spacing w:line="228" w:lineRule="auto"/>
      </w:pPr>
      <w:r>
        <w:t xml:space="preserve">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πρ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r,Z,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rad>
      </m:oMath>
      <w:r>
        <w:tab/>
      </w:r>
      <w:r w:rsidRPr="00C40377">
        <w:t>(2)</w:t>
      </w:r>
    </w:p>
    <w:p w:rsidR="00125FFB" w:rsidRDefault="00125FFB" w:rsidP="00231DBE">
      <w:pPr>
        <w:pStyle w:val="Zv-bodyreportcont"/>
        <w:spacing w:line="228" w:lineRule="auto"/>
      </w:pPr>
      <w:r>
        <w:t xml:space="preserve">где </w:t>
      </w:r>
      <w:r w:rsidR="00E02534" w:rsidRPr="00E02534">
        <w:rPr>
          <w:i/>
        </w:rPr>
        <w:t>ρ</w:t>
      </w:r>
      <w:r w:rsidRPr="00E02534">
        <w:t>(</w:t>
      </w:r>
      <w:r w:rsidRPr="00E02534">
        <w:rPr>
          <w:i/>
        </w:rPr>
        <w:t>r</w:t>
      </w:r>
      <w:r w:rsidRPr="00E02534">
        <w:t>,</w:t>
      </w:r>
      <w:r w:rsidRPr="00E02534">
        <w:rPr>
          <w:i/>
        </w:rPr>
        <w:t>Z</w:t>
      </w:r>
      <w:r w:rsidRPr="00E02534">
        <w:t>,</w:t>
      </w:r>
      <w:r w:rsidRPr="00E02534">
        <w:rPr>
          <w:i/>
        </w:rPr>
        <w:t>Z</w:t>
      </w:r>
      <w:r w:rsidRPr="00E02534">
        <w:rPr>
          <w:i/>
          <w:vertAlign w:val="subscript"/>
        </w:rPr>
        <w:t>i</w:t>
      </w:r>
      <w:r w:rsidRPr="00E02534">
        <w:t>)</w:t>
      </w:r>
      <w:r w:rsidRPr="00FB5F08">
        <w:t xml:space="preserve"> </w:t>
      </w:r>
      <w:r w:rsidR="00E02534" w:rsidRPr="00AA55B2">
        <w:t>—</w:t>
      </w:r>
      <w:r w:rsidRPr="00FB5F08">
        <w:t xml:space="preserve"> </w:t>
      </w:r>
      <w:r>
        <w:t xml:space="preserve">электронная плотность иона, </w:t>
      </w:r>
      <w:r w:rsidRPr="00E02534">
        <w:rPr>
          <w:i/>
        </w:rPr>
        <w:t>Z</w:t>
      </w:r>
      <w:r w:rsidR="00E02534" w:rsidRPr="00AA55B2">
        <w:t xml:space="preserve"> — </w:t>
      </w:r>
      <w:r>
        <w:t xml:space="preserve">заряд ядра, </w:t>
      </w:r>
      <w:r w:rsidRPr="00E02534">
        <w:rPr>
          <w:i/>
        </w:rPr>
        <w:t>Z</w:t>
      </w:r>
      <w:r w:rsidRPr="00E02534">
        <w:rPr>
          <w:i/>
          <w:vertAlign w:val="subscript"/>
        </w:rPr>
        <w:t>i</w:t>
      </w:r>
      <w:r w:rsidR="00E02534" w:rsidRPr="00AA55B2">
        <w:t xml:space="preserve"> — </w:t>
      </w:r>
      <w:r>
        <w:t xml:space="preserve">заряд иона. Такой подход позволяет единое для всех зарядов </w:t>
      </w:r>
      <w:r w:rsidRPr="0036048C">
        <w:rPr>
          <w:i/>
          <w:lang w:val="en-US"/>
        </w:rPr>
        <w:t>Z</w:t>
      </w:r>
      <w:r>
        <w:t xml:space="preserve"> описание при использовании для электронной плотности статистического распределения (например, распределения Томаса</w:t>
      </w:r>
      <w:r w:rsidR="006E27A6">
        <w:rPr>
          <w:lang w:val="en-US"/>
        </w:rPr>
        <w:t> </w:t>
      </w:r>
      <w:r w:rsidR="006E27A6" w:rsidRPr="00AA55B2">
        <w:t>—</w:t>
      </w:r>
      <w:r w:rsidR="006E27A6">
        <w:rPr>
          <w:lang w:val="en-US"/>
        </w:rPr>
        <w:t> </w:t>
      </w:r>
      <w:r>
        <w:t xml:space="preserve">Ферми). </w:t>
      </w:r>
    </w:p>
    <w:p w:rsidR="00125FFB" w:rsidRDefault="00125FFB" w:rsidP="00231DBE">
      <w:pPr>
        <w:pStyle w:val="Zv-bodyreport"/>
        <w:spacing w:line="228" w:lineRule="auto"/>
      </w:pPr>
      <w:r>
        <w:t>Квазиклассический метод основан на аналогии между силами осцилляторов</w:t>
      </w:r>
      <w:r w:rsidRPr="003852DD">
        <w:t xml:space="preserve">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if</w:t>
      </w:r>
      <w:r>
        <w:t xml:space="preserve"> и электронной плотности </w:t>
      </w:r>
      <w:r w:rsidR="006E27A6" w:rsidRPr="00E02534">
        <w:rPr>
          <w:i/>
        </w:rPr>
        <w:t>ρ</w:t>
      </w:r>
      <w:r w:rsidR="006E27A6" w:rsidRPr="00E02534">
        <w:t>(</w:t>
      </w:r>
      <w:r w:rsidR="006E27A6" w:rsidRPr="00E02534">
        <w:rPr>
          <w:i/>
        </w:rPr>
        <w:t>r</w:t>
      </w:r>
      <w:r w:rsidR="006E27A6" w:rsidRPr="00E02534">
        <w:t>,</w:t>
      </w:r>
      <w:r w:rsidR="006E27A6" w:rsidRPr="00E02534">
        <w:rPr>
          <w:i/>
        </w:rPr>
        <w:t>Z</w:t>
      </w:r>
      <w:r w:rsidR="006E27A6" w:rsidRPr="00E02534">
        <w:t>,</w:t>
      </w:r>
      <w:r w:rsidR="006E27A6" w:rsidRPr="00E02534">
        <w:rPr>
          <w:i/>
        </w:rPr>
        <w:t>Z</w:t>
      </w:r>
      <w:r w:rsidR="006E27A6" w:rsidRPr="00E02534">
        <w:rPr>
          <w:i/>
          <w:vertAlign w:val="subscript"/>
        </w:rPr>
        <w:t>i</w:t>
      </w:r>
      <w:r w:rsidR="006E27A6" w:rsidRPr="00E02534">
        <w:t>)</w:t>
      </w:r>
      <w:r w:rsidRPr="003852DD">
        <w:t>.</w:t>
      </w:r>
      <w:r>
        <w:t xml:space="preserve"> </w:t>
      </w:r>
      <w:r w:rsidRPr="003852DD">
        <w:t xml:space="preserve">Так полное число электронов </w:t>
      </w:r>
      <w:r w:rsidRPr="006E27A6">
        <w:rPr>
          <w:i/>
        </w:rPr>
        <w:t>N</w:t>
      </w:r>
      <w:r w:rsidRPr="006E27A6">
        <w:rPr>
          <w:i/>
          <w:vertAlign w:val="subscript"/>
        </w:rPr>
        <w:t>e</w:t>
      </w:r>
      <w:r w:rsidRPr="003852DD">
        <w:t xml:space="preserve"> вычисляется по правилу суммирования Томаса-Райхе-Куна: </w:t>
      </w:r>
    </w:p>
    <w:p w:rsidR="00125FFB" w:rsidRPr="00352E79" w:rsidRDefault="00125FFB" w:rsidP="00231DBE">
      <w:pPr>
        <w:pStyle w:val="Zv-formula"/>
        <w:spacing w:line="228" w:lineRule="auto"/>
        <w:rPr>
          <w:rFonts w:ascii="Cambria Math" w:hAnsi="Cambria Math"/>
        </w:rPr>
      </w:pPr>
      <w:r>
        <w:t xml:space="preserve">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f</m:t>
            </m:r>
          </m:sub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if</m:t>
                </m:r>
              </m:sub>
            </m:sSub>
          </m:e>
        </m:nary>
      </m:oMath>
      <w:r>
        <w:tab/>
      </w:r>
      <w:r w:rsidRPr="00352E79">
        <w:t>(3)</w:t>
      </w:r>
    </w:p>
    <w:p w:rsidR="00125FFB" w:rsidRDefault="00125FFB" w:rsidP="007374C6">
      <w:pPr>
        <w:pStyle w:val="Zv-bodyreport"/>
      </w:pPr>
      <w:r>
        <w:t>С другой стороны, та же самая сумма в статистической модели:</w:t>
      </w:r>
    </w:p>
    <w:p w:rsidR="00125FFB" w:rsidRDefault="00125FFB" w:rsidP="00231DBE">
      <w:pPr>
        <w:pStyle w:val="Zv-formula"/>
        <w:spacing w:line="228" w:lineRule="auto"/>
      </w:pPr>
      <w:r w:rsidRPr="000D678E">
        <w:t xml:space="preserve"> </w:t>
      </w:r>
      <w:r w:rsidRPr="000D678E">
        <w:tab/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ρ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dV</m:t>
            </m:r>
          </m:e>
        </m:nary>
      </m:oMath>
      <w:r w:rsidRPr="000D678E">
        <w:tab/>
        <w:t>(</w:t>
      </w:r>
      <w:r w:rsidRPr="00352E79">
        <w:t>4</w:t>
      </w:r>
      <w:r w:rsidRPr="000D678E">
        <w:t>)</w:t>
      </w:r>
    </w:p>
    <w:p w:rsidR="00125FFB" w:rsidRPr="00250EE7" w:rsidRDefault="00125FFB" w:rsidP="00231DBE">
      <w:pPr>
        <w:pStyle w:val="Zv-bodyreport"/>
        <w:spacing w:line="228" w:lineRule="auto"/>
      </w:pPr>
      <w:r w:rsidRPr="000D678E">
        <w:t>Скорость автоионизационного распада обычно выражается через сферические квантовые числа.</w:t>
      </w:r>
      <w:r>
        <w:t xml:space="preserve">  В простейшей статистической модели электронная плотность и атомные характеристики (энергии возбуждения и силы осцилляторов) не зависят от орбитального момента налетающего электрона </w:t>
      </w:r>
      <w:r>
        <w:rPr>
          <w:i/>
          <w:lang w:val="en-US"/>
        </w:rPr>
        <w:t>l</w:t>
      </w:r>
      <w:r>
        <w:t>. Поэтому в работе использована одномерная модель (зависимость только от главного квантового числа) вместо двумерной, где есть зависимость также от орбитального момента.</w:t>
      </w:r>
      <w:r w:rsidRPr="00DD1582">
        <w:t xml:space="preserve"> </w:t>
      </w:r>
      <w:r>
        <w:t>Согласно этому приближению, скорость автоионизационного распада была усреднена по орбитальному моменту импульса</w:t>
      </w:r>
      <w:r w:rsidRPr="00C40377">
        <w:t xml:space="preserve"> </w:t>
      </w:r>
      <w:r>
        <w:t xml:space="preserve">и двойная сумма в (1) заменена на сумму только по </w:t>
      </w:r>
      <w:r w:rsidRPr="00C40377">
        <w:rPr>
          <w:i/>
          <w:lang w:val="en-US"/>
        </w:rPr>
        <w:t>n</w:t>
      </w:r>
      <w:r>
        <w:t xml:space="preserve">. </w:t>
      </w:r>
    </w:p>
    <w:p w:rsidR="00125FFB" w:rsidRDefault="00125FFB" w:rsidP="00231DBE">
      <w:pPr>
        <w:pStyle w:val="Zv-bodyreport"/>
        <w:spacing w:line="228" w:lineRule="auto"/>
      </w:pPr>
      <w:r>
        <w:t xml:space="preserve">Результаты, полученные в приближении статистической модели, сравнивались с результатами расчетов скоростей диэлектронной рекомбинации, выполненных с помощью релятивистских численных кодов </w:t>
      </w:r>
      <w:r>
        <w:rPr>
          <w:lang w:val="en-US"/>
        </w:rPr>
        <w:t>FAC</w:t>
      </w:r>
      <w:r w:rsidR="006E27A6" w:rsidRPr="00AA55B2">
        <w:t xml:space="preserve"> </w:t>
      </w:r>
      <w:r w:rsidRPr="000705D4">
        <w:t>[</w:t>
      </w:r>
      <w:r w:rsidRPr="009336EB">
        <w:t>2</w:t>
      </w:r>
      <w:r w:rsidRPr="000705D4">
        <w:t>]</w:t>
      </w:r>
      <w:r>
        <w:t xml:space="preserve"> и </w:t>
      </w:r>
      <w:r>
        <w:rPr>
          <w:lang w:val="en-US"/>
        </w:rPr>
        <w:t>HULLAC</w:t>
      </w:r>
      <w:r w:rsidR="006E27A6" w:rsidRPr="00AA55B2">
        <w:t xml:space="preserve"> </w:t>
      </w:r>
      <w:r w:rsidRPr="00873D2B">
        <w:t>[</w:t>
      </w:r>
      <w:r w:rsidRPr="009336EB">
        <w:t>3</w:t>
      </w:r>
      <w:r w:rsidRPr="00873D2B">
        <w:t>]</w:t>
      </w:r>
      <w:r w:rsidRPr="003C7DDF">
        <w:t>.</w:t>
      </w:r>
      <w:r w:rsidRPr="005E2202">
        <w:t xml:space="preserve"> </w:t>
      </w:r>
      <w:r>
        <w:t>Обнаружено хорошее соответствие статистической модели с квантовыми расчетами.</w:t>
      </w:r>
    </w:p>
    <w:p w:rsidR="00125FFB" w:rsidRPr="00E02534" w:rsidRDefault="00E02534" w:rsidP="006D2D84">
      <w:pPr>
        <w:pStyle w:val="Zv-TitleReferences-ru"/>
        <w:rPr>
          <w:lang w:val="en-US"/>
        </w:rPr>
      </w:pPr>
      <w:r>
        <w:t>Литература</w:t>
      </w:r>
    </w:p>
    <w:p w:rsidR="00125FFB" w:rsidRPr="009336EB" w:rsidRDefault="00125FFB" w:rsidP="006D2D84">
      <w:pPr>
        <w:pStyle w:val="Zv-References-ru"/>
        <w:rPr>
          <w:lang w:val="en-US"/>
        </w:rPr>
      </w:pPr>
      <w:r w:rsidRPr="000705D4">
        <w:rPr>
          <w:lang w:val="en-US"/>
        </w:rPr>
        <w:t xml:space="preserve">W. Brandt and </w:t>
      </w:r>
      <w:smartTag w:uri="urn:schemas-microsoft-com:office:smarttags" w:element="place">
        <w:r w:rsidRPr="000705D4">
          <w:rPr>
            <w:lang w:val="en-US"/>
          </w:rPr>
          <w:t>S. Lundqvist</w:t>
        </w:r>
      </w:smartTag>
      <w:r w:rsidRPr="000705D4">
        <w:rPr>
          <w:lang w:val="en-US"/>
        </w:rPr>
        <w:t xml:space="preserve">, Phys. </w:t>
      </w:r>
      <w:r w:rsidRPr="009336EB">
        <w:rPr>
          <w:lang w:val="en-US"/>
        </w:rPr>
        <w:t>Rev. A 139, 612–617 (1965).</w:t>
      </w:r>
    </w:p>
    <w:p w:rsidR="00125FFB" w:rsidRDefault="00125FFB" w:rsidP="000705D4">
      <w:pPr>
        <w:pStyle w:val="Zv-References-ru"/>
        <w:rPr>
          <w:lang w:val="en-US"/>
        </w:rPr>
      </w:pPr>
      <w:r w:rsidRPr="000705D4">
        <w:rPr>
          <w:lang w:val="en-US"/>
        </w:rPr>
        <w:t>F.C. Meng, C.Y. Chen, Y.S. Wang, and Y.M. Zou, Journal of Quantitative Spectroscopy and Radiative Transfer 109</w:t>
      </w:r>
      <w:r>
        <w:rPr>
          <w:lang w:val="en-US"/>
        </w:rPr>
        <w:t xml:space="preserve">, </w:t>
      </w:r>
      <w:r w:rsidRPr="000705D4">
        <w:rPr>
          <w:lang w:val="en-US"/>
        </w:rPr>
        <w:t>2007 (2008).</w:t>
      </w:r>
    </w:p>
    <w:p w:rsidR="00125FFB" w:rsidRPr="000705D4" w:rsidRDefault="00125FFB" w:rsidP="00231DBE">
      <w:pPr>
        <w:pStyle w:val="Zv-References-ru"/>
        <w:rPr>
          <w:lang w:val="en-US"/>
        </w:rPr>
      </w:pPr>
      <w:r w:rsidRPr="00352E79">
        <w:rPr>
          <w:lang w:val="en-US"/>
        </w:rPr>
        <w:t xml:space="preserve">E. Behar, P. Mandelbaum, and J. L. Schwob, Phys. </w:t>
      </w:r>
      <w:r w:rsidRPr="000705D4">
        <w:t>Rev. A 54, 3070–3077 (1996).</w:t>
      </w:r>
    </w:p>
    <w:p w:rsidR="00125FFB" w:rsidRDefault="00125FFB" w:rsidP="00AA55B2">
      <w:pPr>
        <w:pStyle w:val="a6"/>
        <w:rPr>
          <w:lang w:val="en-US"/>
        </w:rPr>
      </w:pPr>
    </w:p>
    <w:sectPr w:rsidR="00125FF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FB" w:rsidRDefault="00125FFB">
      <w:r>
        <w:separator/>
      </w:r>
    </w:p>
  </w:endnote>
  <w:endnote w:type="continuationSeparator" w:id="0">
    <w:p w:rsidR="00125FFB" w:rsidRDefault="0012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FB" w:rsidRDefault="00125FFB" w:rsidP="00654A7B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FFB" w:rsidRDefault="00125FF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FB" w:rsidRDefault="00125FFB" w:rsidP="00654A7B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F60">
      <w:rPr>
        <w:rStyle w:val="a5"/>
        <w:noProof/>
      </w:rPr>
      <w:t>1</w:t>
    </w:r>
    <w:r>
      <w:rPr>
        <w:rStyle w:val="a5"/>
      </w:rPr>
      <w:fldChar w:fldCharType="end"/>
    </w:r>
  </w:p>
  <w:p w:rsidR="00125FFB" w:rsidRDefault="00125F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FB" w:rsidRDefault="00125FFB">
      <w:r>
        <w:separator/>
      </w:r>
    </w:p>
  </w:footnote>
  <w:footnote w:type="continuationSeparator" w:id="0">
    <w:p w:rsidR="00125FFB" w:rsidRDefault="00125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FB" w:rsidRDefault="00125FF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87D3F">
      <w:rPr>
        <w:sz w:val="20"/>
      </w:rPr>
      <w:t>8</w:t>
    </w:r>
    <w:r>
      <w:rPr>
        <w:sz w:val="20"/>
      </w:rPr>
      <w:t xml:space="preserve"> – 1</w:t>
    </w:r>
    <w:r w:rsidRPr="00887D3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87D3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25FFB" w:rsidRDefault="004C3F60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2E62"/>
    <w:rsid w:val="0003664C"/>
    <w:rsid w:val="00037DCC"/>
    <w:rsid w:val="00043701"/>
    <w:rsid w:val="00046CC2"/>
    <w:rsid w:val="00051FD8"/>
    <w:rsid w:val="000705D4"/>
    <w:rsid w:val="0007702C"/>
    <w:rsid w:val="000C7078"/>
    <w:rsid w:val="000D678E"/>
    <w:rsid w:val="000D76E9"/>
    <w:rsid w:val="000E495B"/>
    <w:rsid w:val="00125FFB"/>
    <w:rsid w:val="001333FE"/>
    <w:rsid w:val="00161AE5"/>
    <w:rsid w:val="001C0CCB"/>
    <w:rsid w:val="001E7B85"/>
    <w:rsid w:val="00220629"/>
    <w:rsid w:val="00231DBE"/>
    <w:rsid w:val="00243715"/>
    <w:rsid w:val="00247225"/>
    <w:rsid w:val="00250EE7"/>
    <w:rsid w:val="002722EC"/>
    <w:rsid w:val="00297F24"/>
    <w:rsid w:val="002F20E6"/>
    <w:rsid w:val="002F2E47"/>
    <w:rsid w:val="00304C07"/>
    <w:rsid w:val="00352E79"/>
    <w:rsid w:val="0036048C"/>
    <w:rsid w:val="003800F3"/>
    <w:rsid w:val="003852DD"/>
    <w:rsid w:val="003B5B93"/>
    <w:rsid w:val="003C1B47"/>
    <w:rsid w:val="003C7DDF"/>
    <w:rsid w:val="00401388"/>
    <w:rsid w:val="004204D0"/>
    <w:rsid w:val="00425E6F"/>
    <w:rsid w:val="0044154C"/>
    <w:rsid w:val="00446025"/>
    <w:rsid w:val="00447ABC"/>
    <w:rsid w:val="00463F25"/>
    <w:rsid w:val="004A77D1"/>
    <w:rsid w:val="004B72AA"/>
    <w:rsid w:val="004C3F60"/>
    <w:rsid w:val="004F4E29"/>
    <w:rsid w:val="0050346D"/>
    <w:rsid w:val="005335BD"/>
    <w:rsid w:val="00567C6F"/>
    <w:rsid w:val="0058676C"/>
    <w:rsid w:val="005B50A3"/>
    <w:rsid w:val="005E2202"/>
    <w:rsid w:val="00621AC8"/>
    <w:rsid w:val="00654A7B"/>
    <w:rsid w:val="006A0FB0"/>
    <w:rsid w:val="006D2D84"/>
    <w:rsid w:val="006E27A6"/>
    <w:rsid w:val="00732A2E"/>
    <w:rsid w:val="007374C6"/>
    <w:rsid w:val="00757A0E"/>
    <w:rsid w:val="00776BDB"/>
    <w:rsid w:val="007B6378"/>
    <w:rsid w:val="007C3260"/>
    <w:rsid w:val="00802D35"/>
    <w:rsid w:val="00852B94"/>
    <w:rsid w:val="008615F1"/>
    <w:rsid w:val="00873D2B"/>
    <w:rsid w:val="00887D3F"/>
    <w:rsid w:val="008947A0"/>
    <w:rsid w:val="008B3701"/>
    <w:rsid w:val="009336EB"/>
    <w:rsid w:val="00940EDD"/>
    <w:rsid w:val="009D69B4"/>
    <w:rsid w:val="00A07CAF"/>
    <w:rsid w:val="00A565C9"/>
    <w:rsid w:val="00AA291C"/>
    <w:rsid w:val="00AA55B2"/>
    <w:rsid w:val="00B04137"/>
    <w:rsid w:val="00B622ED"/>
    <w:rsid w:val="00B9138B"/>
    <w:rsid w:val="00B9584E"/>
    <w:rsid w:val="00BA36C0"/>
    <w:rsid w:val="00BD0360"/>
    <w:rsid w:val="00BD04F3"/>
    <w:rsid w:val="00BF053A"/>
    <w:rsid w:val="00C103CD"/>
    <w:rsid w:val="00C232A0"/>
    <w:rsid w:val="00C40377"/>
    <w:rsid w:val="00C54F80"/>
    <w:rsid w:val="00CC0628"/>
    <w:rsid w:val="00D007BA"/>
    <w:rsid w:val="00D47F19"/>
    <w:rsid w:val="00D6090E"/>
    <w:rsid w:val="00D751B7"/>
    <w:rsid w:val="00D7747D"/>
    <w:rsid w:val="00D90DA7"/>
    <w:rsid w:val="00DD1582"/>
    <w:rsid w:val="00DE10F1"/>
    <w:rsid w:val="00E02534"/>
    <w:rsid w:val="00E04BC6"/>
    <w:rsid w:val="00E1331D"/>
    <w:rsid w:val="00E26380"/>
    <w:rsid w:val="00E64037"/>
    <w:rsid w:val="00E7021A"/>
    <w:rsid w:val="00E72E7D"/>
    <w:rsid w:val="00E87733"/>
    <w:rsid w:val="00EB65FE"/>
    <w:rsid w:val="00EE398C"/>
    <w:rsid w:val="00F74399"/>
    <w:rsid w:val="00F95123"/>
    <w:rsid w:val="00FB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8">
    <w:name w:val="Placeholder Text"/>
    <w:basedOn w:val="a0"/>
    <w:uiPriority w:val="99"/>
    <w:semiHidden/>
    <w:rsid w:val="00FB5F08"/>
    <w:rPr>
      <w:rFonts w:cs="Times New Roman"/>
      <w:color w:val="808080"/>
    </w:rPr>
  </w:style>
  <w:style w:type="character" w:styleId="a9">
    <w:name w:val="Hyperlink"/>
    <w:basedOn w:val="a0"/>
    <w:uiPriority w:val="99"/>
    <w:rsid w:val="00DE10F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1333FE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rsid w:val="00D007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00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2445</Characters>
  <Application>Microsoft Office Word</Application>
  <DocSecurity>0</DocSecurity>
  <Lines>20</Lines>
  <Paragraphs>5</Paragraphs>
  <ScaleCrop>false</ScaleCrop>
  <Company>k13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скорости диэлектронной рекомбинации в статистической модели</dc:title>
  <dc:subject/>
  <dc:creator>Сергей Сатунин</dc:creator>
  <cp:keywords/>
  <dc:description/>
  <cp:lastModifiedBy>Сергей Сатунин</cp:lastModifiedBy>
  <cp:revision>4</cp:revision>
  <dcterms:created xsi:type="dcterms:W3CDTF">2016-01-02T14:14:00Z</dcterms:created>
  <dcterms:modified xsi:type="dcterms:W3CDTF">2016-01-02T14:15:00Z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